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E58912">
      <w:pPr>
        <w:pStyle w:val="6"/>
        <w:ind w:firstLine="420"/>
      </w:pPr>
    </w:p>
    <w:p w14:paraId="2FC86277">
      <w:pPr>
        <w:pStyle w:val="6"/>
        <w:ind w:firstLine="420"/>
      </w:pPr>
    </w:p>
    <w:p w14:paraId="35762A80">
      <w:pPr>
        <w:pStyle w:val="6"/>
        <w:ind w:firstLine="420"/>
      </w:pPr>
    </w:p>
    <w:p w14:paraId="11493DFB">
      <w:pPr>
        <w:pStyle w:val="6"/>
        <w:ind w:firstLine="420"/>
      </w:pPr>
    </w:p>
    <w:p w14:paraId="41DB729E">
      <w:pPr>
        <w:pStyle w:val="6"/>
        <w:ind w:firstLine="420"/>
      </w:pPr>
    </w:p>
    <w:p w14:paraId="13C6540D">
      <w:pPr>
        <w:pStyle w:val="6"/>
        <w:ind w:firstLine="420"/>
      </w:pPr>
    </w:p>
    <w:p w14:paraId="52CF14CC">
      <w:pPr>
        <w:pStyle w:val="6"/>
        <w:ind w:firstLine="420"/>
      </w:pPr>
    </w:p>
    <w:p w14:paraId="1AC8E63A">
      <w:pPr>
        <w:pStyle w:val="6"/>
        <w:ind w:firstLine="420"/>
      </w:pPr>
    </w:p>
    <w:p w14:paraId="2834F5D8">
      <w:pPr>
        <w:rPr>
          <w:lang w:eastAsia="zh-CN"/>
        </w:rPr>
      </w:pPr>
    </w:p>
    <w:p w14:paraId="147B9762">
      <w:pPr>
        <w:spacing w:line="360" w:lineRule="auto"/>
        <w:ind w:firstLine="0" w:firstLineChars="0"/>
        <w:jc w:val="center"/>
        <w:rPr>
          <w:rFonts w:hint="eastAsia" w:ascii="宋体" w:hAnsi="宋体" w:eastAsia="宋体" w:cs="宋体"/>
          <w:b/>
          <w:bCs/>
          <w:sz w:val="40"/>
          <w:szCs w:val="40"/>
          <w:lang w:eastAsia="zh-CN"/>
        </w:rPr>
      </w:pPr>
      <w:r>
        <w:rPr>
          <w:rFonts w:hint="eastAsia" w:ascii="宋体" w:hAnsi="宋体" w:eastAsia="宋体" w:cs="宋体"/>
          <w:b/>
          <w:bCs/>
          <w:sz w:val="40"/>
          <w:szCs w:val="40"/>
          <w:lang w:eastAsia="zh-CN"/>
        </w:rPr>
        <w:t>《民用爆</w:t>
      </w:r>
      <w:r>
        <w:rPr>
          <w:rFonts w:hint="eastAsia" w:ascii="宋体" w:hAnsi="宋体" w:eastAsia="宋体" w:cs="宋体"/>
          <w:b/>
          <w:bCs/>
          <w:sz w:val="40"/>
          <w:szCs w:val="40"/>
          <w:lang w:val="en-US" w:eastAsia="zh-CN"/>
        </w:rPr>
        <w:t>破器材</w:t>
      </w:r>
      <w:r>
        <w:rPr>
          <w:rFonts w:hint="eastAsia" w:ascii="宋体" w:hAnsi="宋体" w:eastAsia="宋体" w:cs="宋体"/>
          <w:b/>
          <w:bCs/>
          <w:sz w:val="40"/>
          <w:szCs w:val="40"/>
          <w:lang w:eastAsia="zh-CN"/>
        </w:rPr>
        <w:t>企业安全检查方法  检查表法</w:t>
      </w:r>
    </w:p>
    <w:p w14:paraId="5727DFE2">
      <w:pPr>
        <w:spacing w:line="360" w:lineRule="auto"/>
        <w:ind w:firstLine="0" w:firstLineChars="0"/>
        <w:jc w:val="center"/>
        <w:rPr>
          <w:rFonts w:hint="eastAsia" w:ascii="宋体" w:hAnsi="宋体" w:eastAsia="宋体" w:cs="宋体"/>
          <w:b/>
          <w:bCs/>
          <w:sz w:val="40"/>
          <w:szCs w:val="40"/>
          <w:lang w:eastAsia="zh-CN"/>
        </w:rPr>
      </w:pPr>
      <w:r>
        <w:rPr>
          <w:rFonts w:hint="eastAsia" w:ascii="宋体" w:hAnsi="宋体" w:eastAsia="宋体" w:cs="宋体"/>
          <w:b/>
          <w:bCs/>
          <w:sz w:val="40"/>
          <w:szCs w:val="40"/>
          <w:lang w:eastAsia="zh-CN"/>
        </w:rPr>
        <w:t>第4部分：工业雷管生产线》</w:t>
      </w:r>
    </w:p>
    <w:p w14:paraId="25068BFD">
      <w:pPr>
        <w:rPr>
          <w:lang w:eastAsia="zh-CN"/>
        </w:rPr>
      </w:pPr>
    </w:p>
    <w:p w14:paraId="0C748121">
      <w:pPr>
        <w:rPr>
          <w:lang w:eastAsia="zh-CN"/>
        </w:rPr>
      </w:pPr>
    </w:p>
    <w:p w14:paraId="07352143">
      <w:pPr>
        <w:spacing w:line="360" w:lineRule="auto"/>
        <w:ind w:firstLine="0" w:firstLineChars="0"/>
        <w:jc w:val="center"/>
        <w:rPr>
          <w:rFonts w:hint="eastAsia" w:ascii="宋体" w:hAnsi="宋体" w:eastAsia="宋体" w:cs="宋体"/>
          <w:b/>
          <w:bCs/>
          <w:sz w:val="40"/>
          <w:szCs w:val="40"/>
          <w:lang w:eastAsia="zh-CN"/>
        </w:rPr>
      </w:pPr>
      <w:r>
        <w:rPr>
          <w:rFonts w:hint="eastAsia" w:ascii="宋体" w:hAnsi="宋体" w:eastAsia="宋体" w:cs="宋体"/>
          <w:b/>
          <w:bCs/>
          <w:sz w:val="40"/>
          <w:szCs w:val="40"/>
          <w:lang w:eastAsia="zh-CN"/>
        </w:rPr>
        <w:t>编制说明</w:t>
      </w:r>
    </w:p>
    <w:p w14:paraId="1C49AB3C">
      <w:pPr>
        <w:pStyle w:val="6"/>
        <w:ind w:firstLine="420"/>
        <w:rPr>
          <w:lang w:eastAsia="zh-CN"/>
        </w:rPr>
      </w:pPr>
    </w:p>
    <w:p w14:paraId="513AD07F">
      <w:pPr>
        <w:pStyle w:val="6"/>
        <w:ind w:firstLine="420"/>
        <w:rPr>
          <w:lang w:eastAsia="zh-CN"/>
        </w:rPr>
      </w:pPr>
    </w:p>
    <w:p w14:paraId="585D7EB6">
      <w:pPr>
        <w:pStyle w:val="6"/>
        <w:ind w:firstLine="420"/>
        <w:rPr>
          <w:lang w:eastAsia="zh-CN"/>
        </w:rPr>
      </w:pPr>
    </w:p>
    <w:p w14:paraId="15D2FF82">
      <w:pPr>
        <w:pStyle w:val="6"/>
        <w:ind w:firstLine="420"/>
        <w:rPr>
          <w:lang w:eastAsia="zh-CN"/>
        </w:rPr>
      </w:pPr>
    </w:p>
    <w:p w14:paraId="5AA0ED93">
      <w:pPr>
        <w:pStyle w:val="6"/>
        <w:ind w:firstLine="420"/>
        <w:rPr>
          <w:lang w:eastAsia="zh-CN"/>
        </w:rPr>
      </w:pPr>
    </w:p>
    <w:p w14:paraId="6AC707F3">
      <w:pPr>
        <w:pStyle w:val="6"/>
        <w:ind w:firstLine="420"/>
        <w:rPr>
          <w:lang w:eastAsia="zh-CN"/>
        </w:rPr>
      </w:pPr>
    </w:p>
    <w:p w14:paraId="7088F687">
      <w:pPr>
        <w:pStyle w:val="6"/>
        <w:ind w:firstLine="420"/>
        <w:rPr>
          <w:lang w:eastAsia="zh-CN"/>
        </w:rPr>
      </w:pPr>
    </w:p>
    <w:p w14:paraId="51667F9E">
      <w:pPr>
        <w:pStyle w:val="6"/>
        <w:ind w:firstLine="420"/>
        <w:rPr>
          <w:lang w:eastAsia="zh-CN"/>
        </w:rPr>
      </w:pPr>
    </w:p>
    <w:p w14:paraId="643AC3DC">
      <w:pPr>
        <w:pStyle w:val="6"/>
        <w:ind w:firstLine="420"/>
        <w:rPr>
          <w:lang w:eastAsia="zh-CN"/>
        </w:rPr>
      </w:pPr>
    </w:p>
    <w:p w14:paraId="3D78CB9A">
      <w:pPr>
        <w:pStyle w:val="6"/>
        <w:ind w:firstLine="420"/>
        <w:rPr>
          <w:lang w:eastAsia="zh-CN"/>
        </w:rPr>
      </w:pPr>
    </w:p>
    <w:p w14:paraId="5E27B660">
      <w:pPr>
        <w:pStyle w:val="6"/>
        <w:ind w:firstLine="420"/>
        <w:rPr>
          <w:lang w:eastAsia="zh-CN"/>
        </w:rPr>
      </w:pPr>
    </w:p>
    <w:p w14:paraId="27C3BD7B">
      <w:pPr>
        <w:pStyle w:val="6"/>
        <w:ind w:firstLine="420"/>
        <w:rPr>
          <w:lang w:eastAsia="zh-CN"/>
        </w:rPr>
      </w:pPr>
    </w:p>
    <w:p w14:paraId="1B48ED08">
      <w:pPr>
        <w:pStyle w:val="6"/>
        <w:ind w:firstLine="420"/>
        <w:rPr>
          <w:lang w:eastAsia="zh-CN"/>
        </w:rPr>
      </w:pPr>
    </w:p>
    <w:p w14:paraId="57B9FB1C">
      <w:pPr>
        <w:pStyle w:val="6"/>
        <w:ind w:firstLine="420"/>
        <w:rPr>
          <w:lang w:eastAsia="zh-CN"/>
        </w:rPr>
      </w:pPr>
    </w:p>
    <w:p w14:paraId="231B9919">
      <w:pPr>
        <w:pStyle w:val="6"/>
        <w:ind w:firstLine="420"/>
        <w:rPr>
          <w:lang w:eastAsia="zh-CN"/>
        </w:rPr>
      </w:pPr>
    </w:p>
    <w:p w14:paraId="45E30426">
      <w:pPr>
        <w:pStyle w:val="6"/>
        <w:ind w:firstLine="420"/>
        <w:rPr>
          <w:lang w:eastAsia="zh-CN"/>
        </w:rPr>
      </w:pPr>
    </w:p>
    <w:p w14:paraId="6A28B8C0">
      <w:pPr>
        <w:pStyle w:val="6"/>
        <w:ind w:firstLine="420"/>
        <w:rPr>
          <w:lang w:eastAsia="zh-CN"/>
        </w:rPr>
      </w:pPr>
    </w:p>
    <w:p w14:paraId="35EDDF51">
      <w:pPr>
        <w:pStyle w:val="6"/>
        <w:ind w:firstLine="420"/>
        <w:rPr>
          <w:lang w:eastAsia="zh-CN"/>
        </w:rPr>
      </w:pPr>
    </w:p>
    <w:p w14:paraId="14E34BA6">
      <w:pPr>
        <w:pStyle w:val="6"/>
        <w:spacing w:line="360" w:lineRule="auto"/>
        <w:ind w:firstLine="0" w:firstLineChars="0"/>
        <w:jc w:val="center"/>
        <w:rPr>
          <w:rFonts w:hint="eastAsia" w:ascii="宋体" w:hAnsi="宋体" w:eastAsia="宋体" w:cs="宋体"/>
          <w:sz w:val="28"/>
          <w:szCs w:val="28"/>
          <w:lang w:eastAsia="zh-CN"/>
        </w:rPr>
      </w:pPr>
    </w:p>
    <w:p w14:paraId="2E4BAD21">
      <w:pPr>
        <w:pStyle w:val="6"/>
        <w:spacing w:line="360" w:lineRule="auto"/>
        <w:ind w:firstLine="0" w:firstLineChars="0"/>
        <w:jc w:val="center"/>
        <w:rPr>
          <w:rFonts w:hint="eastAsia" w:ascii="宋体" w:hAnsi="宋体" w:eastAsia="宋体" w:cs="宋体"/>
          <w:sz w:val="28"/>
          <w:szCs w:val="28"/>
          <w:lang w:eastAsia="zh-CN"/>
        </w:rPr>
      </w:pPr>
    </w:p>
    <w:p w14:paraId="6ED9D70C">
      <w:pPr>
        <w:pStyle w:val="6"/>
        <w:spacing w:line="360" w:lineRule="auto"/>
        <w:ind w:firstLine="0" w:firstLineChars="0"/>
        <w:jc w:val="center"/>
        <w:rPr>
          <w:rFonts w:hint="eastAsia" w:ascii="宋体" w:hAnsi="宋体" w:eastAsia="宋体" w:cs="宋体"/>
          <w:sz w:val="28"/>
          <w:szCs w:val="28"/>
          <w:lang w:eastAsia="zh-CN"/>
        </w:rPr>
      </w:pPr>
      <w:r>
        <w:rPr>
          <w:rFonts w:hint="eastAsia" w:ascii="宋体" w:hAnsi="宋体" w:eastAsia="宋体" w:cs="宋体"/>
          <w:sz w:val="28"/>
          <w:szCs w:val="28"/>
          <w:lang w:eastAsia="zh-CN"/>
        </w:rPr>
        <w:t>标准编制组</w:t>
      </w:r>
    </w:p>
    <w:p w14:paraId="685E47BF">
      <w:pPr>
        <w:pStyle w:val="6"/>
        <w:spacing w:line="360" w:lineRule="auto"/>
        <w:ind w:firstLine="0" w:firstLineChars="0"/>
        <w:jc w:val="center"/>
        <w:rPr>
          <w:rFonts w:hint="eastAsia" w:ascii="宋体" w:hAnsi="宋体" w:eastAsia="宋体" w:cs="宋体"/>
          <w:sz w:val="28"/>
          <w:szCs w:val="28"/>
          <w:lang w:eastAsia="zh-CN"/>
        </w:rPr>
        <w:sectPr>
          <w:headerReference r:id="rId7" w:type="first"/>
          <w:footerReference r:id="rId10" w:type="first"/>
          <w:headerReference r:id="rId5" w:type="default"/>
          <w:footerReference r:id="rId8" w:type="default"/>
          <w:headerReference r:id="rId6" w:type="even"/>
          <w:footerReference r:id="rId9" w:type="even"/>
          <w:type w:val="continuous"/>
          <w:pgSz w:w="11910" w:h="16840"/>
          <w:pgMar w:top="1600" w:right="980" w:bottom="280" w:left="1300" w:header="720" w:footer="720" w:gutter="0"/>
          <w:pgNumType w:fmt="upperRoman"/>
          <w:cols w:space="720" w:num="1"/>
        </w:sectPr>
      </w:pPr>
      <w:r>
        <w:rPr>
          <w:rFonts w:hint="eastAsia" w:ascii="宋体" w:hAnsi="宋体" w:eastAsia="宋体" w:cs="宋体"/>
          <w:sz w:val="28"/>
          <w:szCs w:val="28"/>
          <w:lang w:eastAsia="zh-CN"/>
        </w:rPr>
        <w:t>2025年11月</w:t>
      </w:r>
    </w:p>
    <w:p w14:paraId="0FFD53E7">
      <w:pPr>
        <w:pStyle w:val="6"/>
        <w:spacing w:line="360" w:lineRule="auto"/>
        <w:ind w:left="0" w:leftChars="0" w:firstLine="0" w:firstLineChars="0"/>
        <w:jc w:val="center"/>
        <w:rPr>
          <w:rFonts w:hint="eastAsia" w:ascii="方正公文小标宋" w:hAnsi="方正公文小标宋" w:eastAsia="方正公文小标宋" w:cs="方正公文小标宋"/>
          <w:sz w:val="30"/>
          <w:szCs w:val="30"/>
          <w:lang w:eastAsia="zh-CN"/>
        </w:rPr>
      </w:pPr>
      <w:r>
        <w:rPr>
          <w:rFonts w:hint="eastAsia" w:ascii="方正公文小标宋" w:hAnsi="方正公文小标宋" w:eastAsia="方正公文小标宋" w:cs="方正公文小标宋"/>
          <w:sz w:val="30"/>
          <w:szCs w:val="30"/>
          <w:lang w:eastAsia="zh-CN"/>
        </w:rPr>
        <w:t>《民用爆</w:t>
      </w:r>
      <w:r>
        <w:rPr>
          <w:rFonts w:hint="eastAsia" w:ascii="方正公文小标宋" w:hAnsi="方正公文小标宋" w:eastAsia="方正公文小标宋" w:cs="方正公文小标宋"/>
          <w:sz w:val="30"/>
          <w:szCs w:val="30"/>
          <w:lang w:val="en-US" w:eastAsia="zh-CN"/>
        </w:rPr>
        <w:t>破器材</w:t>
      </w:r>
      <w:bookmarkStart w:id="1" w:name="_GoBack"/>
      <w:bookmarkEnd w:id="1"/>
      <w:r>
        <w:rPr>
          <w:rFonts w:hint="eastAsia" w:ascii="方正公文小标宋" w:hAnsi="方正公文小标宋" w:eastAsia="方正公文小标宋" w:cs="方正公文小标宋"/>
          <w:sz w:val="30"/>
          <w:szCs w:val="30"/>
          <w:lang w:eastAsia="zh-CN"/>
        </w:rPr>
        <w:t>企业安全检查方法  检查表法</w:t>
      </w:r>
    </w:p>
    <w:p w14:paraId="683F8D01">
      <w:pPr>
        <w:pStyle w:val="6"/>
        <w:spacing w:line="360" w:lineRule="auto"/>
        <w:ind w:left="0" w:leftChars="0" w:firstLine="0" w:firstLineChars="0"/>
        <w:jc w:val="center"/>
        <w:rPr>
          <w:rFonts w:hint="eastAsia" w:ascii="方正公文小标宋" w:hAnsi="方正公文小标宋" w:eastAsia="方正公文小标宋" w:cs="方正公文小标宋"/>
          <w:sz w:val="30"/>
          <w:szCs w:val="30"/>
          <w:lang w:eastAsia="zh-CN"/>
        </w:rPr>
      </w:pPr>
      <w:r>
        <w:rPr>
          <w:rFonts w:hint="eastAsia" w:ascii="方正公文小标宋" w:hAnsi="方正公文小标宋" w:eastAsia="方正公文小标宋" w:cs="方正公文小标宋"/>
          <w:sz w:val="30"/>
          <w:szCs w:val="30"/>
          <w:lang w:eastAsia="zh-CN"/>
        </w:rPr>
        <w:t>第4部分：工业雷管生产线》</w:t>
      </w:r>
    </w:p>
    <w:p w14:paraId="008244F6">
      <w:pPr>
        <w:pStyle w:val="6"/>
        <w:spacing w:line="360" w:lineRule="auto"/>
        <w:ind w:left="0" w:leftChars="0" w:firstLine="0" w:firstLineChars="0"/>
        <w:jc w:val="center"/>
        <w:rPr>
          <w:rFonts w:hint="eastAsia" w:ascii="黑体" w:hAnsi="黑体" w:eastAsia="黑体"/>
          <w:sz w:val="21"/>
          <w:szCs w:val="21"/>
          <w:lang w:eastAsia="zh-CN"/>
        </w:rPr>
      </w:pPr>
      <w:r>
        <w:rPr>
          <w:rFonts w:hint="eastAsia" w:ascii="方正公文小标宋" w:hAnsi="方正公文小标宋" w:eastAsia="方正公文小标宋" w:cs="方正公文小标宋"/>
          <w:sz w:val="30"/>
          <w:szCs w:val="30"/>
          <w:lang w:eastAsia="zh-CN"/>
        </w:rPr>
        <w:t>编制说明</w:t>
      </w:r>
    </w:p>
    <w:p w14:paraId="61326BAF">
      <w:pPr>
        <w:spacing w:line="360" w:lineRule="auto"/>
        <w:ind w:firstLine="420"/>
        <w:rPr>
          <w:rFonts w:hint="eastAsia" w:ascii="黑体" w:hAnsi="黑体" w:eastAsia="黑体"/>
          <w:sz w:val="24"/>
          <w:szCs w:val="24"/>
          <w:lang w:eastAsia="zh-CN"/>
        </w:rPr>
      </w:pPr>
    </w:p>
    <w:p w14:paraId="6FF1E4D6">
      <w:pPr>
        <w:spacing w:line="360" w:lineRule="auto"/>
        <w:ind w:firstLine="420"/>
        <w:rPr>
          <w:rFonts w:ascii="黑体" w:hAnsi="黑体" w:eastAsia="黑体"/>
          <w:sz w:val="24"/>
          <w:szCs w:val="24"/>
          <w:lang w:eastAsia="zh-CN"/>
        </w:rPr>
      </w:pPr>
      <w:r>
        <w:rPr>
          <w:rFonts w:hint="eastAsia" w:ascii="黑体" w:hAnsi="黑体" w:eastAsia="黑体"/>
          <w:sz w:val="24"/>
          <w:szCs w:val="24"/>
          <w:lang w:eastAsia="zh-CN"/>
        </w:rPr>
        <w:t>一、工作概况</w:t>
      </w:r>
    </w:p>
    <w:p w14:paraId="2DE4E798">
      <w:pPr>
        <w:spacing w:line="360" w:lineRule="auto"/>
        <w:ind w:firstLine="420"/>
        <w:rPr>
          <w:rFonts w:ascii="黑体" w:hAnsi="黑体" w:eastAsia="黑体"/>
          <w:sz w:val="24"/>
          <w:szCs w:val="24"/>
          <w:lang w:eastAsia="zh-CN"/>
        </w:rPr>
      </w:pPr>
      <w:r>
        <w:rPr>
          <w:rFonts w:hint="eastAsia"/>
          <w:sz w:val="24"/>
          <w:szCs w:val="24"/>
          <w:lang w:eastAsia="zh-CN"/>
        </w:rPr>
        <w:t>1、任务来源</w:t>
      </w:r>
    </w:p>
    <w:p w14:paraId="419583D1">
      <w:pPr>
        <w:spacing w:line="360" w:lineRule="auto"/>
        <w:ind w:firstLine="420"/>
        <w:rPr>
          <w:sz w:val="24"/>
          <w:szCs w:val="24"/>
          <w:lang w:eastAsia="zh-CN"/>
        </w:rPr>
      </w:pPr>
      <w:r>
        <w:rPr>
          <w:rFonts w:hint="eastAsia"/>
          <w:sz w:val="24"/>
          <w:szCs w:val="24"/>
          <w:lang w:eastAsia="zh-CN"/>
        </w:rPr>
        <w:t>2023</w:t>
      </w:r>
      <w:r>
        <w:rPr>
          <w:sz w:val="24"/>
          <w:szCs w:val="24"/>
          <w:lang w:eastAsia="zh-CN"/>
        </w:rPr>
        <w:t>年10月2</w:t>
      </w:r>
      <w:r>
        <w:rPr>
          <w:rFonts w:hint="eastAsia"/>
          <w:sz w:val="24"/>
          <w:szCs w:val="24"/>
          <w:lang w:eastAsia="zh-CN"/>
        </w:rPr>
        <w:t>3</w:t>
      </w:r>
      <w:r>
        <w:rPr>
          <w:sz w:val="24"/>
          <w:szCs w:val="24"/>
          <w:lang w:eastAsia="zh-CN"/>
        </w:rPr>
        <w:t>日</w:t>
      </w:r>
      <w:r>
        <w:rPr>
          <w:rFonts w:hint="eastAsia"/>
          <w:sz w:val="24"/>
          <w:szCs w:val="24"/>
          <w:lang w:eastAsia="zh-CN"/>
        </w:rPr>
        <w:t>，工业和信息化部办公厅下发《关于印发2023年第三批行业标准制修订和外文版项目计划的通知》（工信厅函[2023]291号）。由中国兵器工业标准化研究所作为主要起草单位牵头开展《民用爆破器材企业安全检查方法  检查表法》七项系列标准的制修订工作，参编单位包括北京安联国科科技咨询有限公司、江阳兴安民爆器材有限公司、四川雅化实业集团股份有限公司、川南航天能源科技有限公司等。</w:t>
      </w:r>
    </w:p>
    <w:p w14:paraId="1FEEBB59">
      <w:pPr>
        <w:spacing w:line="360" w:lineRule="auto"/>
        <w:ind w:firstLine="420"/>
        <w:rPr>
          <w:sz w:val="24"/>
          <w:szCs w:val="24"/>
          <w:lang w:eastAsia="zh-CN"/>
        </w:rPr>
      </w:pPr>
      <w:r>
        <w:rPr>
          <w:rFonts w:hint="eastAsia"/>
          <w:sz w:val="24"/>
          <w:szCs w:val="24"/>
          <w:lang w:eastAsia="zh-CN"/>
        </w:rPr>
        <w:t>2、主要任务</w:t>
      </w:r>
    </w:p>
    <w:p w14:paraId="249617AE">
      <w:pPr>
        <w:spacing w:line="360" w:lineRule="auto"/>
        <w:ind w:firstLine="420"/>
        <w:rPr>
          <w:sz w:val="24"/>
          <w:szCs w:val="24"/>
          <w:lang w:eastAsia="zh-CN"/>
        </w:rPr>
      </w:pPr>
      <w:r>
        <w:rPr>
          <w:rFonts w:hint="eastAsia"/>
          <w:sz w:val="24"/>
          <w:szCs w:val="24"/>
          <w:lang w:eastAsia="zh-CN"/>
        </w:rPr>
        <w:t>安全检查方法是民爆行业安全监管的常用手段，2012版《民用爆破器材企业安全检查方法  检查表法》WJ 9075.(1-7)标准实施以来，在民爆行业安全监管、企业安全管理中发挥了重要作用。鉴于近年来国家和民爆行业先后发布了新的安全生产法、《“十四五”民用爆炸物品行业安全发展规划》（工信部规〔2021〕183号）、《加快推进民用爆炸物品行业转型升级实施意见》（工信部安全〔2025〕41号）、《民用爆炸物品工程设计安全标准》（GB50089-2018）、《民用爆炸物品生产、销售企业安全管理规程》（GB 28263-2024）等法律、法规、标准和规章，原WJ 9075标准中引用的相关依据有较多变化改变，亟待修订检查内容；原标准中尚缺少个别民爆小品种产品，应加以补充，以便更好指导民爆行业安全检查、安全监管和管理。</w:t>
      </w:r>
    </w:p>
    <w:p w14:paraId="2D173997">
      <w:pPr>
        <w:spacing w:line="360" w:lineRule="auto"/>
        <w:ind w:firstLine="420"/>
        <w:rPr>
          <w:sz w:val="24"/>
          <w:szCs w:val="24"/>
          <w:lang w:eastAsia="zh-CN"/>
        </w:rPr>
      </w:pPr>
    </w:p>
    <w:p w14:paraId="6F09255A">
      <w:pPr>
        <w:spacing w:line="360" w:lineRule="auto"/>
        <w:ind w:firstLine="420"/>
        <w:rPr>
          <w:rFonts w:ascii="黑体" w:hAnsi="黑体" w:eastAsia="黑体"/>
          <w:sz w:val="24"/>
          <w:szCs w:val="24"/>
          <w:lang w:eastAsia="zh-CN"/>
        </w:rPr>
      </w:pPr>
      <w:r>
        <w:rPr>
          <w:rFonts w:hint="eastAsia" w:ascii="黑体" w:hAnsi="黑体" w:eastAsia="黑体"/>
          <w:sz w:val="24"/>
          <w:szCs w:val="24"/>
          <w:lang w:eastAsia="zh-CN"/>
        </w:rPr>
        <w:t>二、标准制修订的主要工作及过程</w:t>
      </w:r>
    </w:p>
    <w:p w14:paraId="4CEAE32F">
      <w:pPr>
        <w:spacing w:line="360" w:lineRule="auto"/>
        <w:rPr>
          <w:sz w:val="24"/>
          <w:szCs w:val="24"/>
          <w:lang w:eastAsia="zh-CN"/>
        </w:rPr>
      </w:pPr>
      <w:r>
        <w:rPr>
          <w:rFonts w:hint="eastAsia"/>
          <w:sz w:val="24"/>
          <w:szCs w:val="24"/>
          <w:lang w:eastAsia="zh-CN"/>
        </w:rPr>
        <w:t>1、修订任务分工</w:t>
      </w:r>
    </w:p>
    <w:p w14:paraId="6A1A54B8">
      <w:pPr>
        <w:spacing w:line="360" w:lineRule="auto"/>
        <w:rPr>
          <w:sz w:val="24"/>
          <w:szCs w:val="24"/>
          <w:lang w:eastAsia="zh-CN"/>
        </w:rPr>
      </w:pPr>
      <w:r>
        <w:rPr>
          <w:rFonts w:hint="eastAsia"/>
          <w:sz w:val="24"/>
          <w:szCs w:val="24"/>
          <w:lang w:eastAsia="zh-CN"/>
        </w:rPr>
        <w:t>2022年以来，修改任务立项后，中国兵器工业标准化研究所作为标准主编单位，根据该标准编制修改要求和民爆行业安全检查、监管的具体情况，组织成立了由肖月华、田野、王春乐、晃光艳等为主要成员的标准修订编制组，编制组成员对该标准修订应包含的内容、安全检查应覆盖的范围以及标准的结构框架等进行了调研和分析。考虑到作为行业安全检查涉及各专业和各类企业，经研究扩大了编制组成员范围。</w:t>
      </w:r>
    </w:p>
    <w:p w14:paraId="0F30FE19">
      <w:pPr>
        <w:spacing w:line="360" w:lineRule="auto"/>
        <w:ind w:firstLine="420"/>
        <w:rPr>
          <w:sz w:val="24"/>
          <w:szCs w:val="24"/>
          <w:lang w:eastAsia="zh-CN"/>
        </w:rPr>
      </w:pPr>
      <w:r>
        <w:rPr>
          <w:rFonts w:hint="eastAsia"/>
          <w:sz w:val="24"/>
          <w:szCs w:val="24"/>
          <w:lang w:eastAsia="zh-CN"/>
        </w:rPr>
        <w:t>2、修订工作过程</w:t>
      </w:r>
    </w:p>
    <w:p w14:paraId="6590C418">
      <w:pPr>
        <w:spacing w:line="360" w:lineRule="auto"/>
        <w:ind w:firstLine="420"/>
        <w:rPr>
          <w:sz w:val="24"/>
          <w:szCs w:val="24"/>
          <w:lang w:eastAsia="zh-CN"/>
        </w:rPr>
      </w:pPr>
      <w:r>
        <w:rPr>
          <w:rFonts w:hint="eastAsia"/>
          <w:sz w:val="24"/>
          <w:szCs w:val="24"/>
          <w:lang w:eastAsia="zh-CN"/>
        </w:rPr>
        <w:t>本项目自20</w:t>
      </w:r>
      <w:r>
        <w:rPr>
          <w:sz w:val="24"/>
          <w:szCs w:val="24"/>
          <w:lang w:eastAsia="zh-CN"/>
        </w:rPr>
        <w:t>2</w:t>
      </w:r>
      <w:r>
        <w:rPr>
          <w:rFonts w:hint="eastAsia"/>
          <w:sz w:val="24"/>
          <w:szCs w:val="24"/>
          <w:lang w:eastAsia="zh-CN"/>
        </w:rPr>
        <w:t>2年3月启动相关工作，制修订过程如下：</w:t>
      </w:r>
    </w:p>
    <w:p w14:paraId="7DBFC3B4">
      <w:pPr>
        <w:spacing w:line="360" w:lineRule="auto"/>
        <w:ind w:firstLine="420"/>
        <w:rPr>
          <w:sz w:val="24"/>
          <w:szCs w:val="24"/>
          <w:lang w:eastAsia="zh-CN"/>
        </w:rPr>
      </w:pPr>
      <w:r>
        <w:rPr>
          <w:rFonts w:hint="eastAsia"/>
          <w:sz w:val="24"/>
          <w:szCs w:val="24"/>
          <w:lang w:eastAsia="zh-CN"/>
        </w:rPr>
        <w:t>第一阶段：标准制修订立项后调研和修订依据收集工作</w:t>
      </w:r>
    </w:p>
    <w:p w14:paraId="40C3BB50">
      <w:pPr>
        <w:spacing w:line="360" w:lineRule="auto"/>
        <w:ind w:firstLine="420"/>
        <w:rPr>
          <w:sz w:val="24"/>
          <w:szCs w:val="24"/>
          <w:lang w:eastAsia="zh-CN"/>
        </w:rPr>
      </w:pPr>
      <w:r>
        <w:rPr>
          <w:rFonts w:hint="eastAsia"/>
          <w:sz w:val="24"/>
          <w:szCs w:val="24"/>
          <w:lang w:eastAsia="zh-CN"/>
        </w:rPr>
        <w:t>修订编制组收集调研了《中华人民共和国安全生产法》(十三届主席令第88号)、《工伤保险条例》(国务院令第375号，国务院令第586号修订)、《财政部 应急部关于印发&lt;企业安全生产费用提取和使用管理办法&gt;的通知》(财资[2022]136号)、《民用爆炸物品生产和销售企业安全生产培训管理办法》（工信厅安全[2018]77号）、《民爆行业安全生产专项整治三年行动工作方案的通知》（工信厅安全〔2020〕26号)、《“十四五”民用爆炸物品行业安全发展规划》（工信部规〔2021〕183号）、《关于进一步加强民用爆炸物品重大危险源管理工作的通知》（工信厅安全[2022]14号）、《民用爆炸物品行业重大事故隐患判定标准》（工信部安全【2024】234号）、《加快推进民用爆炸物品行业转型升级实施意见》（工信部安全〔2025〕41号）、《民用爆炸物品工程设计安全标准》（GB50089-2018）、《民用爆炸物品生产、销售企业安全管理规程》（GB 28263-2024）等相关文件，作为标准修订编制的依据。</w:t>
      </w:r>
    </w:p>
    <w:p w14:paraId="2FF5CDB2">
      <w:pPr>
        <w:spacing w:line="360" w:lineRule="auto"/>
        <w:ind w:firstLine="420"/>
        <w:rPr>
          <w:sz w:val="24"/>
          <w:szCs w:val="24"/>
          <w:lang w:eastAsia="zh-CN"/>
        </w:rPr>
      </w:pPr>
      <w:r>
        <w:rPr>
          <w:rFonts w:hint="eastAsia"/>
          <w:sz w:val="24"/>
          <w:szCs w:val="24"/>
          <w:lang w:eastAsia="zh-CN"/>
        </w:rPr>
        <w:t>同时，修订编制组对近十几年来的安全事故进行了梳理分析，如2009年7月18日湘潭市民爆公司5吨炸药库爆炸、2005年6月1日安徽雷鸣公司水胶炸药线爆炸事故、2011年5月11日河北丰华爆破公司，0.98吨炸药爆炸、2013年3月21日江铜股份公司乳化炸药现场混装车上残药100多公斤爆炸事故、2014年3月7日唐山开滦公司乳化炸药生产线约3吨乳化炸药爆炸、2015年10月21日山东天宝公司起爆具生产线爆炸事故、2017年南京理工科技化工公司等三起工业雷管生产安全事故等。经对以上多个事故案例爆炸后的破坏情况、导致事故的技术和管理因素分析，为标准修定提供了参考依据。</w:t>
      </w:r>
    </w:p>
    <w:p w14:paraId="03E0F325">
      <w:pPr>
        <w:spacing w:line="360" w:lineRule="auto"/>
        <w:ind w:firstLine="420"/>
        <w:rPr>
          <w:sz w:val="24"/>
          <w:szCs w:val="24"/>
          <w:lang w:eastAsia="zh-CN"/>
        </w:rPr>
      </w:pPr>
    </w:p>
    <w:p w14:paraId="67DC7EDF">
      <w:pPr>
        <w:widowControl/>
        <w:autoSpaceDE/>
        <w:autoSpaceDN/>
        <w:spacing w:before="50" w:after="50" w:line="360" w:lineRule="auto"/>
        <w:ind w:firstLine="420"/>
        <w:jc w:val="both"/>
        <w:outlineLvl w:val="1"/>
        <w:rPr>
          <w:rFonts w:ascii="黑体" w:hAnsi="黑体" w:eastAsia="黑体"/>
          <w:sz w:val="24"/>
          <w:szCs w:val="24"/>
          <w:lang w:eastAsia="zh-CN"/>
        </w:rPr>
      </w:pPr>
      <w:r>
        <w:rPr>
          <w:rFonts w:hint="eastAsia" w:ascii="黑体" w:hAnsi="黑体" w:eastAsia="黑体"/>
          <w:sz w:val="24"/>
          <w:szCs w:val="24"/>
          <w:lang w:eastAsia="zh-CN"/>
        </w:rPr>
        <w:t>第二阶段：标准制修订阶段</w:t>
      </w:r>
    </w:p>
    <w:p w14:paraId="10FC2634">
      <w:pPr>
        <w:spacing w:line="360" w:lineRule="auto"/>
        <w:ind w:firstLine="420"/>
        <w:rPr>
          <w:sz w:val="24"/>
          <w:szCs w:val="24"/>
          <w:lang w:eastAsia="zh-CN"/>
        </w:rPr>
      </w:pPr>
      <w:r>
        <w:rPr>
          <w:rFonts w:hint="eastAsia"/>
          <w:sz w:val="24"/>
          <w:szCs w:val="24"/>
          <w:lang w:eastAsia="zh-CN"/>
        </w:rPr>
        <w:t>1）2021年06月：安全司提出立项申请，2022年10月修订编制组提出了标准修订的框架；</w:t>
      </w:r>
    </w:p>
    <w:p w14:paraId="34524FAA">
      <w:pPr>
        <w:spacing w:line="360" w:lineRule="auto"/>
        <w:ind w:firstLine="420"/>
        <w:rPr>
          <w:sz w:val="24"/>
          <w:szCs w:val="24"/>
          <w:lang w:eastAsia="zh-CN"/>
        </w:rPr>
      </w:pPr>
      <w:r>
        <w:rPr>
          <w:rFonts w:hint="eastAsia"/>
          <w:sz w:val="24"/>
          <w:szCs w:val="24"/>
          <w:lang w:eastAsia="zh-CN"/>
        </w:rPr>
        <w:t>2）2023年12月：行业标准立项得到批复；</w:t>
      </w:r>
    </w:p>
    <w:p w14:paraId="54C6FE21">
      <w:pPr>
        <w:spacing w:line="360" w:lineRule="auto"/>
        <w:ind w:firstLine="420"/>
        <w:rPr>
          <w:sz w:val="24"/>
          <w:szCs w:val="24"/>
          <w:lang w:eastAsia="zh-CN"/>
        </w:rPr>
      </w:pPr>
      <w:r>
        <w:rPr>
          <w:rFonts w:hint="eastAsia"/>
          <w:sz w:val="24"/>
          <w:szCs w:val="24"/>
          <w:lang w:eastAsia="zh-CN"/>
        </w:rPr>
        <w:t>3）2024年08月：各修订编制组完成了《民用爆破器材企业安全检查方法  检查表法》WJ 9075.(1-7)的初稿；</w:t>
      </w:r>
    </w:p>
    <w:p w14:paraId="71101BDD">
      <w:pPr>
        <w:spacing w:line="360" w:lineRule="auto"/>
        <w:ind w:left="418" w:leftChars="190" w:firstLine="0" w:firstLineChars="0"/>
        <w:rPr>
          <w:sz w:val="24"/>
          <w:szCs w:val="24"/>
          <w:lang w:eastAsia="zh-CN"/>
        </w:rPr>
      </w:pPr>
      <w:r>
        <w:rPr>
          <w:rFonts w:hint="eastAsia"/>
          <w:sz w:val="24"/>
          <w:szCs w:val="24"/>
          <w:lang w:eastAsia="zh-CN"/>
        </w:rPr>
        <w:t>3）2025年8月15日：由中国兵器工业标准化研究所主持召开标准修订初稿进行研讨审查会；</w:t>
      </w:r>
    </w:p>
    <w:p w14:paraId="1209F25C">
      <w:pPr>
        <w:spacing w:line="360" w:lineRule="auto"/>
        <w:ind w:left="418" w:leftChars="190" w:firstLine="0" w:firstLineChars="0"/>
        <w:rPr>
          <w:sz w:val="24"/>
          <w:szCs w:val="24"/>
          <w:lang w:eastAsia="zh-CN"/>
        </w:rPr>
      </w:pPr>
      <w:r>
        <w:rPr>
          <w:rFonts w:hint="eastAsia"/>
          <w:sz w:val="24"/>
          <w:szCs w:val="24"/>
          <w:lang w:eastAsia="zh-CN"/>
        </w:rPr>
        <w:t>4）2025年10月：在前期研讨的基础上，各修订编制组完成了标准的征求意见稿。</w:t>
      </w:r>
    </w:p>
    <w:p w14:paraId="22A37DAE">
      <w:pPr>
        <w:spacing w:line="360" w:lineRule="auto"/>
        <w:ind w:firstLine="420"/>
        <w:rPr>
          <w:sz w:val="24"/>
          <w:szCs w:val="24"/>
          <w:lang w:eastAsia="zh-CN"/>
        </w:rPr>
      </w:pPr>
    </w:p>
    <w:p w14:paraId="75192FE9">
      <w:pPr>
        <w:widowControl/>
        <w:autoSpaceDE/>
        <w:autoSpaceDN/>
        <w:spacing w:before="50" w:after="50" w:line="360" w:lineRule="auto"/>
        <w:ind w:firstLine="0" w:firstLineChars="0"/>
        <w:jc w:val="both"/>
        <w:outlineLvl w:val="1"/>
        <w:rPr>
          <w:rFonts w:ascii="黑体" w:hAnsi="黑体" w:eastAsia="黑体"/>
          <w:sz w:val="24"/>
          <w:szCs w:val="24"/>
          <w:lang w:eastAsia="zh-CN"/>
        </w:rPr>
      </w:pPr>
      <w:r>
        <w:rPr>
          <w:rFonts w:hint="eastAsia" w:ascii="黑体" w:hAnsi="黑体" w:eastAsia="黑体"/>
          <w:sz w:val="24"/>
          <w:szCs w:val="24"/>
          <w:lang w:eastAsia="zh-CN"/>
        </w:rPr>
        <w:t>三、标准制修订原则和主要内容</w:t>
      </w:r>
    </w:p>
    <w:p w14:paraId="624FE438">
      <w:pPr>
        <w:widowControl/>
        <w:autoSpaceDE/>
        <w:autoSpaceDN/>
        <w:spacing w:before="50" w:after="50" w:line="360" w:lineRule="auto"/>
        <w:ind w:firstLine="0" w:firstLineChars="0"/>
        <w:jc w:val="both"/>
        <w:outlineLvl w:val="1"/>
        <w:rPr>
          <w:rFonts w:ascii="黑体" w:hAnsi="黑体" w:eastAsia="黑体"/>
          <w:sz w:val="24"/>
          <w:szCs w:val="24"/>
          <w:lang w:eastAsia="zh-CN"/>
        </w:rPr>
      </w:pPr>
      <w:r>
        <w:rPr>
          <w:rFonts w:hint="eastAsia" w:ascii="黑体" w:hAnsi="黑体" w:eastAsia="黑体"/>
          <w:sz w:val="24"/>
          <w:szCs w:val="24"/>
          <w:lang w:eastAsia="zh-CN"/>
        </w:rPr>
        <w:t>（一）标准制修订原则</w:t>
      </w:r>
    </w:p>
    <w:p w14:paraId="2DF32BCF">
      <w:pPr>
        <w:spacing w:line="360" w:lineRule="auto"/>
        <w:ind w:firstLine="420"/>
        <w:rPr>
          <w:sz w:val="24"/>
          <w:szCs w:val="24"/>
          <w:lang w:eastAsia="zh-CN"/>
        </w:rPr>
      </w:pPr>
      <w:r>
        <w:rPr>
          <w:rFonts w:hint="eastAsia"/>
          <w:sz w:val="24"/>
          <w:szCs w:val="24"/>
          <w:lang w:eastAsia="zh-CN"/>
        </w:rPr>
        <w:t>本标准的制修订立足于我国民爆行业的技术发展情况，分析和研究了国家行业的最新安全、生产和技术发展要求，在保持原标准基本结构的基础进行完美修订。主要原则有：</w:t>
      </w:r>
    </w:p>
    <w:p w14:paraId="64E47A84">
      <w:pPr>
        <w:spacing w:line="360" w:lineRule="auto"/>
        <w:rPr>
          <w:sz w:val="24"/>
          <w:szCs w:val="24"/>
          <w:lang w:eastAsia="zh-CN"/>
        </w:rPr>
      </w:pPr>
      <w:r>
        <w:rPr>
          <w:rFonts w:hint="eastAsia"/>
          <w:sz w:val="24"/>
          <w:szCs w:val="24"/>
          <w:lang w:eastAsia="zh-CN"/>
        </w:rPr>
        <w:t>（1）体现唯一性：依据最新的民爆行业安全文件，对民用爆炸物品行业各生产、销售企业的安全检查及评判应有统一的标准，本标准的制定避免了安全检查过程中检查和评判人员的人为因素。</w:t>
      </w:r>
    </w:p>
    <w:p w14:paraId="2C3CFD62">
      <w:pPr>
        <w:spacing w:line="360" w:lineRule="auto"/>
        <w:rPr>
          <w:sz w:val="24"/>
          <w:szCs w:val="24"/>
          <w:lang w:eastAsia="zh-CN"/>
        </w:rPr>
      </w:pPr>
      <w:r>
        <w:rPr>
          <w:rFonts w:hint="eastAsia"/>
          <w:sz w:val="24"/>
          <w:szCs w:val="24"/>
          <w:lang w:eastAsia="zh-CN"/>
        </w:rPr>
        <w:t>（2）体现安全第一：检查项目、评分标准等的设置应以发现生产中的安全隐患为首要目的，通过检查，提高企业全员的安全意识，督促企业消除安全隐患。</w:t>
      </w:r>
    </w:p>
    <w:p w14:paraId="3AD173DD">
      <w:pPr>
        <w:spacing w:line="360" w:lineRule="auto"/>
        <w:rPr>
          <w:sz w:val="24"/>
          <w:szCs w:val="24"/>
          <w:lang w:eastAsia="zh-CN"/>
        </w:rPr>
      </w:pPr>
      <w:r>
        <w:rPr>
          <w:rFonts w:hint="eastAsia"/>
          <w:sz w:val="24"/>
          <w:szCs w:val="24"/>
          <w:lang w:eastAsia="zh-CN"/>
        </w:rPr>
        <w:t>（3）体现技术进步：以本标准为依据对民爆行业生产、销售企业进行安全检查，对检查发现的问题及时采取措施并改进，以此推动企业的技术进步。</w:t>
      </w:r>
    </w:p>
    <w:p w14:paraId="1056C845">
      <w:pPr>
        <w:spacing w:line="360" w:lineRule="auto"/>
        <w:rPr>
          <w:sz w:val="24"/>
          <w:szCs w:val="24"/>
          <w:lang w:eastAsia="zh-CN"/>
        </w:rPr>
      </w:pPr>
      <w:r>
        <w:rPr>
          <w:rFonts w:hint="eastAsia"/>
          <w:sz w:val="24"/>
          <w:szCs w:val="24"/>
          <w:lang w:eastAsia="zh-CN"/>
        </w:rPr>
        <w:t>（4）体现可操作性：在原标准的基础上，进一步简化检查统计方法，结合大多数企业的生产现状和实际情况，使安全检查过程可操作性强。</w:t>
      </w:r>
    </w:p>
    <w:p w14:paraId="6C4DB084">
      <w:pPr>
        <w:widowControl/>
        <w:spacing w:line="360" w:lineRule="auto"/>
        <w:rPr>
          <w:sz w:val="24"/>
          <w:szCs w:val="24"/>
          <w:lang w:eastAsia="zh-CN"/>
        </w:rPr>
      </w:pPr>
      <w:r>
        <w:rPr>
          <w:rFonts w:hint="eastAsia"/>
          <w:sz w:val="24"/>
          <w:szCs w:val="24"/>
          <w:lang w:eastAsia="zh-CN"/>
        </w:rPr>
        <w:t>（</w:t>
      </w:r>
      <w:r>
        <w:rPr>
          <w:rFonts w:hint="eastAsia" w:ascii="黑体" w:eastAsia="黑体"/>
          <w:sz w:val="24"/>
          <w:szCs w:val="24"/>
          <w:lang w:eastAsia="zh-CN"/>
        </w:rPr>
        <w:t>5）</w:t>
      </w:r>
      <w:r>
        <w:rPr>
          <w:rFonts w:hint="eastAsia"/>
          <w:sz w:val="24"/>
          <w:szCs w:val="24"/>
          <w:lang w:eastAsia="zh-CN"/>
        </w:rPr>
        <w:t>标准的编写符合GB/T 1.1—2020《标准化工作导则 第 1 部分：标准化文件的结构和起草规则》的要示。</w:t>
      </w:r>
    </w:p>
    <w:p w14:paraId="06EE300B">
      <w:pPr>
        <w:widowControl/>
        <w:autoSpaceDE/>
        <w:autoSpaceDN/>
        <w:spacing w:before="50" w:after="50" w:line="360" w:lineRule="auto"/>
        <w:ind w:firstLine="0" w:firstLineChars="0"/>
        <w:jc w:val="both"/>
        <w:outlineLvl w:val="1"/>
        <w:rPr>
          <w:rFonts w:ascii="黑体" w:hAnsi="黑体" w:eastAsia="黑体"/>
          <w:sz w:val="24"/>
          <w:szCs w:val="24"/>
          <w:lang w:eastAsia="zh-CN"/>
        </w:rPr>
      </w:pPr>
      <w:r>
        <w:rPr>
          <w:rFonts w:hint="eastAsia" w:ascii="黑体" w:hAnsi="黑体" w:eastAsia="黑体"/>
          <w:sz w:val="24"/>
          <w:szCs w:val="24"/>
          <w:lang w:eastAsia="zh-CN"/>
        </w:rPr>
        <w:t>（二）主要内容</w:t>
      </w:r>
    </w:p>
    <w:p w14:paraId="7AB5BAC8">
      <w:pPr>
        <w:spacing w:line="360" w:lineRule="auto"/>
        <w:ind w:firstLine="420"/>
        <w:rPr>
          <w:sz w:val="24"/>
          <w:szCs w:val="24"/>
          <w:lang w:eastAsia="zh-CN"/>
        </w:rPr>
      </w:pPr>
      <w:r>
        <w:rPr>
          <w:rFonts w:hint="eastAsia"/>
          <w:sz w:val="24"/>
          <w:szCs w:val="24"/>
          <w:lang w:eastAsia="zh-CN"/>
        </w:rPr>
        <w:t>1、本标准规定了民用爆炸物品企业</w:t>
      </w:r>
      <w:r>
        <w:rPr>
          <w:rFonts w:hint="eastAsia" w:ascii="Times New Roman" w:hAnsi="Times New Roman" w:cs="Times New Roman"/>
          <w:sz w:val="24"/>
          <w:szCs w:val="24"/>
          <w:lang w:eastAsia="zh-CN"/>
        </w:rPr>
        <w:t>安全检查内容及检查表、判定及结论、安全检查报告的编制</w:t>
      </w:r>
      <w:r>
        <w:rPr>
          <w:rFonts w:hint="eastAsia"/>
          <w:sz w:val="24"/>
          <w:szCs w:val="24"/>
          <w:lang w:eastAsia="zh-CN"/>
        </w:rPr>
        <w:t>要求。本文件适用于民用爆炸物品行业生产企业和销售企业的安全检查。</w:t>
      </w:r>
    </w:p>
    <w:p w14:paraId="28CB91FA">
      <w:pPr>
        <w:spacing w:line="360" w:lineRule="auto"/>
        <w:ind w:firstLine="420"/>
        <w:rPr>
          <w:sz w:val="24"/>
          <w:szCs w:val="24"/>
          <w:lang w:eastAsia="zh-CN"/>
        </w:rPr>
      </w:pPr>
      <w:r>
        <w:rPr>
          <w:rFonts w:hint="eastAsia"/>
          <w:sz w:val="24"/>
          <w:szCs w:val="24"/>
          <w:lang w:eastAsia="zh-CN"/>
        </w:rPr>
        <w:t>2、本标准技术内容的编写主要依据：</w:t>
      </w:r>
    </w:p>
    <w:p w14:paraId="24ABFF76">
      <w:pPr>
        <w:spacing w:line="360" w:lineRule="auto"/>
        <w:ind w:firstLine="420"/>
        <w:rPr>
          <w:sz w:val="24"/>
          <w:szCs w:val="24"/>
          <w:lang w:eastAsia="zh-CN"/>
        </w:rPr>
      </w:pPr>
      <w:r>
        <w:rPr>
          <w:rFonts w:hint="eastAsia"/>
          <w:sz w:val="24"/>
          <w:szCs w:val="24"/>
          <w:lang w:eastAsia="zh-CN"/>
        </w:rPr>
        <w:t>本标准的修订取依据《中华人民共和国安全生产法》(十三届主席令第88号)、《工伤保险条例》(国务院令第375号，国务院令第586号修订)、《财政部 应急部关于印发&lt;企业安全生产费用提取和使用管理办法&gt;的通知》(财资[2022]136号)、《民用爆炸物品生产和销售企业安全生产培训管理办法》（工信厅安全[2018]77号）、《民爆行业安全生产专项整治三年行动工作方案的通知》（工信厅安全〔2020〕26号)、《“十四五”民用爆炸物品行业安全发展规划》（工信部规〔2021〕183号）、《关于进一步加强民用爆炸物品重大危险源管理工作的通知》（工信厅安全[2022]14号）、《民用爆炸物品行业重大事故隐患判定标准》（工信部安全【2024】234号）、《加快推进民用爆炸物品行业转型升级实施意见》（工信部安全〔2025〕41号）等法律法规规定外，主要依据以下标准：</w:t>
      </w:r>
    </w:p>
    <w:p w14:paraId="75740AF6">
      <w:pPr>
        <w:pStyle w:val="15"/>
        <w:numPr>
          <w:ilvl w:val="0"/>
          <w:numId w:val="1"/>
        </w:numPr>
        <w:spacing w:line="440" w:lineRule="exact"/>
        <w:ind w:left="845" w:firstLineChars="0"/>
        <w:rPr>
          <w:sz w:val="24"/>
          <w:szCs w:val="24"/>
          <w:lang w:eastAsia="zh-CN"/>
        </w:rPr>
      </w:pPr>
      <w:r>
        <w:rPr>
          <w:rFonts w:hint="eastAsia"/>
          <w:sz w:val="24"/>
          <w:szCs w:val="24"/>
          <w:lang w:eastAsia="zh-CN"/>
        </w:rPr>
        <w:t>GB/T 1.1《标准化工作导则》</w:t>
      </w:r>
    </w:p>
    <w:p w14:paraId="7FD568F0">
      <w:pPr>
        <w:pStyle w:val="15"/>
        <w:numPr>
          <w:ilvl w:val="0"/>
          <w:numId w:val="1"/>
        </w:numPr>
        <w:spacing w:line="440" w:lineRule="exact"/>
        <w:ind w:left="845" w:firstLineChars="0"/>
        <w:rPr>
          <w:sz w:val="24"/>
          <w:szCs w:val="24"/>
          <w:lang w:eastAsia="zh-CN"/>
        </w:rPr>
      </w:pPr>
      <w:bookmarkStart w:id="0" w:name="_Hlk97016919"/>
      <w:r>
        <w:rPr>
          <w:rFonts w:hint="eastAsia"/>
          <w:sz w:val="24"/>
          <w:szCs w:val="24"/>
          <w:lang w:eastAsia="zh-CN"/>
        </w:rPr>
        <w:t xml:space="preserve">GB 28263 </w:t>
      </w:r>
      <w:bookmarkEnd w:id="0"/>
      <w:r>
        <w:rPr>
          <w:rFonts w:hint="eastAsia"/>
          <w:sz w:val="24"/>
          <w:szCs w:val="24"/>
          <w:lang w:eastAsia="zh-CN"/>
        </w:rPr>
        <w:t>《民用爆炸物品生产、</w:t>
      </w:r>
      <w:r>
        <w:rPr>
          <w:sz w:val="24"/>
          <w:szCs w:val="24"/>
          <w:lang w:eastAsia="zh-CN"/>
        </w:rPr>
        <w:t>销售企业安全管理规程</w:t>
      </w:r>
      <w:r>
        <w:rPr>
          <w:rFonts w:hint="eastAsia"/>
          <w:sz w:val="24"/>
          <w:szCs w:val="24"/>
          <w:lang w:eastAsia="zh-CN"/>
        </w:rPr>
        <w:t>》</w:t>
      </w:r>
    </w:p>
    <w:p w14:paraId="3927BCD8">
      <w:pPr>
        <w:pStyle w:val="15"/>
        <w:numPr>
          <w:ilvl w:val="0"/>
          <w:numId w:val="1"/>
        </w:numPr>
        <w:spacing w:line="440" w:lineRule="exact"/>
        <w:ind w:left="845" w:firstLineChars="0"/>
        <w:rPr>
          <w:sz w:val="24"/>
          <w:szCs w:val="24"/>
          <w:lang w:eastAsia="zh-CN"/>
        </w:rPr>
      </w:pPr>
      <w:r>
        <w:rPr>
          <w:rFonts w:hint="eastAsia"/>
          <w:sz w:val="24"/>
          <w:szCs w:val="24"/>
          <w:lang w:eastAsia="zh-CN"/>
        </w:rPr>
        <w:t>GB 50089《民用爆炸物品工程设计安全标准》</w:t>
      </w:r>
    </w:p>
    <w:p w14:paraId="44847579">
      <w:pPr>
        <w:pStyle w:val="15"/>
        <w:numPr>
          <w:ilvl w:val="0"/>
          <w:numId w:val="1"/>
        </w:numPr>
        <w:spacing w:line="440" w:lineRule="exact"/>
        <w:ind w:left="845" w:firstLineChars="0"/>
        <w:rPr>
          <w:sz w:val="24"/>
          <w:szCs w:val="24"/>
          <w:lang w:eastAsia="zh-CN"/>
        </w:rPr>
      </w:pPr>
      <w:r>
        <w:rPr>
          <w:rFonts w:hint="eastAsia"/>
          <w:sz w:val="24"/>
          <w:szCs w:val="24"/>
          <w:lang w:eastAsia="zh-CN"/>
        </w:rPr>
        <w:t>GB 55037-2022《建筑防火通用规范》</w:t>
      </w:r>
    </w:p>
    <w:p w14:paraId="289B75FB">
      <w:pPr>
        <w:pStyle w:val="15"/>
        <w:numPr>
          <w:ilvl w:val="0"/>
          <w:numId w:val="1"/>
        </w:numPr>
        <w:spacing w:line="440" w:lineRule="exact"/>
        <w:ind w:left="845" w:firstLineChars="0"/>
        <w:rPr>
          <w:sz w:val="24"/>
          <w:szCs w:val="24"/>
          <w:lang w:eastAsia="zh-CN"/>
        </w:rPr>
      </w:pPr>
      <w:r>
        <w:rPr>
          <w:rFonts w:hint="eastAsia"/>
          <w:sz w:val="24"/>
          <w:szCs w:val="24"/>
          <w:lang w:eastAsia="zh-CN"/>
        </w:rPr>
        <w:t>GB 50016-2014，2018版《建筑设计防火规范》</w:t>
      </w:r>
    </w:p>
    <w:p w14:paraId="6F09DB8C">
      <w:pPr>
        <w:pStyle w:val="15"/>
        <w:numPr>
          <w:ilvl w:val="0"/>
          <w:numId w:val="1"/>
        </w:numPr>
        <w:spacing w:line="440" w:lineRule="exact"/>
        <w:ind w:left="845" w:firstLineChars="0"/>
        <w:rPr>
          <w:sz w:val="24"/>
          <w:szCs w:val="24"/>
          <w:lang w:eastAsia="zh-CN"/>
        </w:rPr>
      </w:pPr>
      <w:r>
        <w:rPr>
          <w:rFonts w:hint="eastAsia"/>
          <w:sz w:val="24"/>
          <w:szCs w:val="24"/>
          <w:lang w:eastAsia="zh-CN"/>
        </w:rPr>
        <w:t>GB 18218-2018《危险化学品重大危险源辨识》</w:t>
      </w:r>
    </w:p>
    <w:p w14:paraId="683880FE">
      <w:pPr>
        <w:pStyle w:val="15"/>
        <w:numPr>
          <w:ilvl w:val="0"/>
          <w:numId w:val="1"/>
        </w:numPr>
        <w:spacing w:line="440" w:lineRule="exact"/>
        <w:ind w:left="845" w:firstLineChars="0"/>
        <w:rPr>
          <w:sz w:val="24"/>
          <w:szCs w:val="24"/>
          <w:lang w:eastAsia="zh-CN"/>
        </w:rPr>
      </w:pPr>
      <w:r>
        <w:rPr>
          <w:rFonts w:hint="eastAsia"/>
          <w:sz w:val="24"/>
          <w:szCs w:val="24"/>
          <w:lang w:eastAsia="zh-CN"/>
        </w:rPr>
        <w:t>WJ/T9093-2018《民用爆炸物品重大危险源辨识》</w:t>
      </w:r>
    </w:p>
    <w:p w14:paraId="60A05D12">
      <w:pPr>
        <w:numPr>
          <w:ilvl w:val="0"/>
          <w:numId w:val="1"/>
        </w:numPr>
        <w:tabs>
          <w:tab w:val="left" w:pos="540"/>
          <w:tab w:val="left" w:pos="720"/>
          <w:tab w:val="left" w:pos="851"/>
          <w:tab w:val="left" w:pos="900"/>
        </w:tabs>
        <w:autoSpaceDE/>
        <w:autoSpaceDN/>
        <w:spacing w:line="440" w:lineRule="exact"/>
        <w:ind w:left="845" w:firstLineChars="0"/>
        <w:jc w:val="both"/>
        <w:rPr>
          <w:sz w:val="24"/>
          <w:szCs w:val="24"/>
          <w:lang w:eastAsia="zh-CN"/>
        </w:rPr>
      </w:pPr>
      <w:r>
        <w:rPr>
          <w:rFonts w:hint="eastAsia"/>
          <w:sz w:val="24"/>
          <w:szCs w:val="24"/>
          <w:lang w:eastAsia="zh-CN"/>
        </w:rPr>
        <w:t>WJ 9085-2015《工业数码电子雷管》</w:t>
      </w:r>
    </w:p>
    <w:p w14:paraId="031F70F5">
      <w:pPr>
        <w:numPr>
          <w:ilvl w:val="0"/>
          <w:numId w:val="1"/>
        </w:numPr>
        <w:tabs>
          <w:tab w:val="left" w:pos="540"/>
          <w:tab w:val="left" w:pos="720"/>
          <w:tab w:val="left" w:pos="851"/>
          <w:tab w:val="left" w:pos="900"/>
        </w:tabs>
        <w:autoSpaceDE/>
        <w:autoSpaceDN/>
        <w:spacing w:line="440" w:lineRule="exact"/>
        <w:ind w:left="845" w:firstLineChars="0"/>
        <w:jc w:val="both"/>
        <w:rPr>
          <w:sz w:val="24"/>
          <w:szCs w:val="24"/>
        </w:rPr>
      </w:pPr>
      <w:r>
        <w:rPr>
          <w:rFonts w:hint="eastAsia"/>
          <w:sz w:val="24"/>
          <w:szCs w:val="24"/>
        </w:rPr>
        <w:t>GB 8031-2015《工业电雷管》</w:t>
      </w:r>
    </w:p>
    <w:p w14:paraId="683D0C51">
      <w:pPr>
        <w:numPr>
          <w:ilvl w:val="0"/>
          <w:numId w:val="1"/>
        </w:numPr>
        <w:tabs>
          <w:tab w:val="left" w:pos="540"/>
          <w:tab w:val="left" w:pos="720"/>
          <w:tab w:val="left" w:pos="851"/>
          <w:tab w:val="left" w:pos="900"/>
        </w:tabs>
        <w:autoSpaceDE/>
        <w:autoSpaceDN/>
        <w:spacing w:line="440" w:lineRule="exact"/>
        <w:ind w:left="845" w:firstLineChars="0"/>
        <w:jc w:val="both"/>
        <w:rPr>
          <w:sz w:val="24"/>
          <w:szCs w:val="24"/>
        </w:rPr>
      </w:pPr>
      <w:r>
        <w:rPr>
          <w:rFonts w:hint="eastAsia"/>
          <w:sz w:val="24"/>
          <w:szCs w:val="24"/>
        </w:rPr>
        <w:t>GB 19417-2003《导爆管雷管》</w:t>
      </w:r>
    </w:p>
    <w:p w14:paraId="090E6ACE">
      <w:pPr>
        <w:numPr>
          <w:ilvl w:val="0"/>
          <w:numId w:val="1"/>
        </w:numPr>
        <w:tabs>
          <w:tab w:val="left" w:pos="540"/>
          <w:tab w:val="left" w:pos="720"/>
          <w:tab w:val="left" w:pos="851"/>
          <w:tab w:val="left" w:pos="900"/>
        </w:tabs>
        <w:autoSpaceDE/>
        <w:autoSpaceDN/>
        <w:spacing w:line="440" w:lineRule="exact"/>
        <w:ind w:left="845" w:firstLineChars="0"/>
        <w:jc w:val="both"/>
        <w:rPr>
          <w:sz w:val="24"/>
          <w:szCs w:val="24"/>
          <w:lang w:eastAsia="zh-CN"/>
        </w:rPr>
      </w:pPr>
      <w:r>
        <w:rPr>
          <w:rFonts w:hint="eastAsia"/>
          <w:sz w:val="24"/>
          <w:szCs w:val="24"/>
          <w:lang w:eastAsia="zh-CN"/>
        </w:rPr>
        <w:t>WJ/T 9031-2018《工业雷管分类与命名规则》</w:t>
      </w:r>
    </w:p>
    <w:p w14:paraId="478FCF6F">
      <w:pPr>
        <w:pStyle w:val="15"/>
        <w:numPr>
          <w:ilvl w:val="0"/>
          <w:numId w:val="1"/>
        </w:numPr>
        <w:spacing w:line="440" w:lineRule="exact"/>
        <w:ind w:left="845" w:firstLineChars="0"/>
        <w:rPr>
          <w:sz w:val="24"/>
          <w:szCs w:val="24"/>
          <w:lang w:eastAsia="zh-CN"/>
        </w:rPr>
      </w:pPr>
      <w:r>
        <w:rPr>
          <w:rFonts w:hint="eastAsia"/>
          <w:sz w:val="24"/>
          <w:szCs w:val="24"/>
          <w:lang w:eastAsia="zh-CN"/>
        </w:rPr>
        <w:t>GB/T 13889-2015《油气井用电雷管》</w:t>
      </w:r>
    </w:p>
    <w:p w14:paraId="7315ABA4">
      <w:pPr>
        <w:pStyle w:val="15"/>
        <w:numPr>
          <w:ilvl w:val="0"/>
          <w:numId w:val="1"/>
        </w:numPr>
        <w:spacing w:line="440" w:lineRule="exact"/>
        <w:ind w:left="845" w:firstLineChars="0"/>
        <w:rPr>
          <w:sz w:val="24"/>
          <w:szCs w:val="24"/>
          <w:lang w:eastAsia="zh-CN"/>
        </w:rPr>
      </w:pPr>
      <w:r>
        <w:rPr>
          <w:rFonts w:hint="eastAsia"/>
          <w:sz w:val="24"/>
          <w:szCs w:val="24"/>
          <w:lang w:eastAsia="zh-CN"/>
        </w:rPr>
        <w:t>WJ/T 9031-2018《工业雷管分类与命名规则》</w:t>
      </w:r>
    </w:p>
    <w:p w14:paraId="63CF5928">
      <w:pPr>
        <w:pStyle w:val="15"/>
        <w:numPr>
          <w:ilvl w:val="0"/>
          <w:numId w:val="1"/>
        </w:numPr>
        <w:spacing w:line="440" w:lineRule="exact"/>
        <w:ind w:left="845" w:firstLineChars="0"/>
        <w:rPr>
          <w:sz w:val="24"/>
          <w:szCs w:val="24"/>
          <w:lang w:eastAsia="zh-CN"/>
        </w:rPr>
      </w:pPr>
      <w:r>
        <w:rPr>
          <w:sz w:val="24"/>
          <w:szCs w:val="24"/>
          <w:lang w:eastAsia="zh-CN"/>
        </w:rPr>
        <w:t xml:space="preserve">WJ/T </w:t>
      </w:r>
      <w:r>
        <w:rPr>
          <w:rFonts w:hint="eastAsia"/>
          <w:sz w:val="24"/>
          <w:szCs w:val="24"/>
          <w:lang w:eastAsia="zh-CN"/>
        </w:rPr>
        <w:t>9106－2024《民用爆炸物品生产销售企业生产安全事故应急预案编制导则》</w:t>
      </w:r>
    </w:p>
    <w:p w14:paraId="1AE394E1">
      <w:pPr>
        <w:pStyle w:val="15"/>
        <w:numPr>
          <w:ilvl w:val="0"/>
          <w:numId w:val="1"/>
        </w:numPr>
        <w:spacing w:line="440" w:lineRule="exact"/>
        <w:ind w:left="845" w:firstLineChars="0"/>
        <w:rPr>
          <w:sz w:val="24"/>
          <w:szCs w:val="24"/>
          <w:lang w:eastAsia="zh-CN"/>
        </w:rPr>
      </w:pPr>
      <w:r>
        <w:rPr>
          <w:rFonts w:hint="eastAsia"/>
          <w:sz w:val="24"/>
          <w:szCs w:val="24"/>
          <w:lang w:eastAsia="zh-CN"/>
        </w:rPr>
        <w:t>GB/T 13861-2022《生产过程危险和有害因素分类与代码》</w:t>
      </w:r>
    </w:p>
    <w:p w14:paraId="27D336EF">
      <w:pPr>
        <w:pStyle w:val="15"/>
        <w:numPr>
          <w:ilvl w:val="0"/>
          <w:numId w:val="1"/>
        </w:numPr>
        <w:spacing w:line="440" w:lineRule="exact"/>
        <w:ind w:left="845" w:firstLineChars="0"/>
        <w:rPr>
          <w:sz w:val="24"/>
          <w:szCs w:val="24"/>
          <w:lang w:eastAsia="zh-CN"/>
        </w:rPr>
      </w:pPr>
      <w:r>
        <w:rPr>
          <w:rFonts w:hint="eastAsia"/>
          <w:sz w:val="24"/>
          <w:szCs w:val="24"/>
          <w:lang w:eastAsia="zh-CN"/>
        </w:rPr>
        <w:t>WJ/T 9100-2022 《民用爆炸物品生产、销售企业安全隐患排查治理体系建设指南》</w:t>
      </w:r>
    </w:p>
    <w:p w14:paraId="6CEF3554">
      <w:pPr>
        <w:pStyle w:val="15"/>
        <w:numPr>
          <w:ilvl w:val="0"/>
          <w:numId w:val="1"/>
        </w:numPr>
        <w:spacing w:line="440" w:lineRule="exact"/>
        <w:ind w:left="845" w:firstLineChars="0"/>
        <w:rPr>
          <w:sz w:val="24"/>
          <w:szCs w:val="24"/>
          <w:lang w:eastAsia="zh-CN"/>
        </w:rPr>
      </w:pPr>
      <w:r>
        <w:rPr>
          <w:rFonts w:hint="eastAsia"/>
          <w:sz w:val="24"/>
          <w:szCs w:val="24"/>
          <w:lang w:eastAsia="zh-CN"/>
        </w:rPr>
        <w:t>WJ/T 9101-2022 《民用爆炸物品生产、销售企业安全风险分级管控体系 建设指南》</w:t>
      </w:r>
    </w:p>
    <w:p w14:paraId="3CEDC637">
      <w:pPr>
        <w:pStyle w:val="6"/>
        <w:ind w:firstLine="420"/>
        <w:rPr>
          <w:sz w:val="24"/>
          <w:szCs w:val="24"/>
          <w:lang w:eastAsia="zh-CN"/>
        </w:rPr>
      </w:pPr>
    </w:p>
    <w:p w14:paraId="39322945">
      <w:pPr>
        <w:pStyle w:val="6"/>
        <w:spacing w:line="360" w:lineRule="auto"/>
        <w:ind w:firstLine="420"/>
        <w:rPr>
          <w:sz w:val="24"/>
          <w:szCs w:val="24"/>
          <w:lang w:eastAsia="zh-CN"/>
        </w:rPr>
      </w:pPr>
      <w:r>
        <w:rPr>
          <w:rFonts w:hint="eastAsia"/>
          <w:sz w:val="24"/>
          <w:szCs w:val="24"/>
          <w:lang w:eastAsia="zh-CN"/>
        </w:rPr>
        <w:t>3、主要修订内容</w:t>
      </w:r>
    </w:p>
    <w:p w14:paraId="546615D4">
      <w:pPr>
        <w:pStyle w:val="6"/>
        <w:spacing w:line="360" w:lineRule="auto"/>
        <w:ind w:firstLine="420"/>
        <w:rPr>
          <w:sz w:val="24"/>
          <w:szCs w:val="24"/>
          <w:lang w:eastAsia="zh-CN"/>
        </w:rPr>
      </w:pPr>
      <w:r>
        <w:rPr>
          <w:rFonts w:hint="eastAsia"/>
          <w:sz w:val="24"/>
          <w:szCs w:val="24"/>
          <w:lang w:eastAsia="zh-CN"/>
        </w:rPr>
        <w:t>本标准代替了《民用爆破器材企业安全检查方法</w:t>
      </w:r>
      <w:r>
        <w:rPr>
          <w:sz w:val="24"/>
          <w:szCs w:val="24"/>
          <w:lang w:eastAsia="zh-CN"/>
        </w:rPr>
        <w:t xml:space="preserve">  检查表法</w:t>
      </w:r>
      <w:r>
        <w:rPr>
          <w:rFonts w:hint="eastAsia"/>
          <w:sz w:val="24"/>
          <w:szCs w:val="24"/>
          <w:lang w:eastAsia="zh-CN"/>
        </w:rPr>
        <w:t xml:space="preserve"> 第</w:t>
      </w:r>
      <w:r>
        <w:rPr>
          <w:sz w:val="24"/>
          <w:szCs w:val="24"/>
          <w:lang w:eastAsia="zh-CN"/>
        </w:rPr>
        <w:t xml:space="preserve">4部分：工业雷管生产线 </w:t>
      </w:r>
      <w:r>
        <w:rPr>
          <w:rFonts w:hint="eastAsia"/>
          <w:sz w:val="24"/>
          <w:szCs w:val="24"/>
          <w:lang w:eastAsia="zh-CN"/>
        </w:rPr>
        <w:t>》（</w:t>
      </w:r>
      <w:r>
        <w:rPr>
          <w:sz w:val="24"/>
          <w:szCs w:val="24"/>
          <w:lang w:eastAsia="zh-CN"/>
        </w:rPr>
        <w:t>WJ 9075.4—2012</w:t>
      </w:r>
      <w:r>
        <w:rPr>
          <w:rFonts w:hint="eastAsia"/>
          <w:sz w:val="24"/>
          <w:szCs w:val="24"/>
          <w:lang w:eastAsia="zh-CN"/>
        </w:rPr>
        <w:t>）。</w:t>
      </w:r>
    </w:p>
    <w:p w14:paraId="6B605715">
      <w:pPr>
        <w:pStyle w:val="6"/>
        <w:spacing w:line="360" w:lineRule="auto"/>
        <w:ind w:firstLine="420"/>
        <w:rPr>
          <w:sz w:val="24"/>
          <w:szCs w:val="24"/>
          <w:lang w:eastAsia="zh-CN"/>
        </w:rPr>
      </w:pPr>
      <w:r>
        <w:rPr>
          <w:rFonts w:hint="eastAsia"/>
          <w:sz w:val="24"/>
          <w:szCs w:val="24"/>
          <w:lang w:eastAsia="zh-CN"/>
        </w:rPr>
        <w:t>本标准与</w:t>
      </w:r>
      <w:r>
        <w:rPr>
          <w:sz w:val="24"/>
          <w:szCs w:val="24"/>
          <w:lang w:eastAsia="zh-CN"/>
        </w:rPr>
        <w:t>WJ 9075.4—2012</w:t>
      </w:r>
      <w:r>
        <w:rPr>
          <w:rFonts w:hint="eastAsia"/>
          <w:sz w:val="24"/>
          <w:szCs w:val="24"/>
          <w:lang w:eastAsia="zh-CN"/>
        </w:rPr>
        <w:t>相比主要变化如下：</w:t>
      </w:r>
    </w:p>
    <w:p w14:paraId="24FAD0B5">
      <w:pPr>
        <w:pStyle w:val="15"/>
        <w:numPr>
          <w:ilvl w:val="0"/>
          <w:numId w:val="2"/>
        </w:numPr>
        <w:spacing w:line="440" w:lineRule="exact"/>
        <w:ind w:left="220" w:leftChars="100" w:firstLine="360" w:firstLineChars="150"/>
        <w:rPr>
          <w:sz w:val="24"/>
          <w:szCs w:val="24"/>
          <w:lang w:eastAsia="zh-CN"/>
        </w:rPr>
      </w:pPr>
      <w:r>
        <w:rPr>
          <w:rFonts w:hint="eastAsia"/>
          <w:sz w:val="24"/>
          <w:szCs w:val="24"/>
          <w:lang w:eastAsia="zh-CN"/>
        </w:rPr>
        <w:t>按照 《民用爆炸物品安全管理条例》(国务院令第653号令修改)等将“民用爆破器材”改为“民用爆炸物品”；</w:t>
      </w:r>
    </w:p>
    <w:p w14:paraId="6B2A3D19">
      <w:pPr>
        <w:pStyle w:val="15"/>
        <w:numPr>
          <w:ilvl w:val="0"/>
          <w:numId w:val="2"/>
        </w:numPr>
        <w:spacing w:line="440" w:lineRule="exact"/>
        <w:ind w:left="220" w:leftChars="100" w:firstLine="360" w:firstLineChars="150"/>
        <w:rPr>
          <w:sz w:val="24"/>
          <w:szCs w:val="24"/>
          <w:lang w:eastAsia="zh-CN"/>
        </w:rPr>
        <w:sectPr>
          <w:footerReference r:id="rId11" w:type="default"/>
          <w:pgSz w:w="11910" w:h="16840"/>
          <w:pgMar w:top="1418" w:right="1418" w:bottom="1418" w:left="1418" w:header="0" w:footer="851" w:gutter="0"/>
          <w:pgNumType w:fmt="decimal" w:start="1"/>
          <w:cols w:space="720" w:num="1"/>
        </w:sectPr>
      </w:pPr>
    </w:p>
    <w:p w14:paraId="452581F3">
      <w:pPr>
        <w:pStyle w:val="15"/>
        <w:numPr>
          <w:ilvl w:val="0"/>
          <w:numId w:val="2"/>
        </w:numPr>
        <w:spacing w:line="440" w:lineRule="exact"/>
        <w:ind w:left="220" w:leftChars="100" w:firstLine="360" w:firstLineChars="150"/>
        <w:rPr>
          <w:sz w:val="24"/>
          <w:szCs w:val="24"/>
          <w:lang w:eastAsia="zh-CN"/>
        </w:rPr>
      </w:pPr>
      <w:r>
        <w:rPr>
          <w:rFonts w:hint="eastAsia"/>
          <w:sz w:val="24"/>
          <w:szCs w:val="24"/>
          <w:lang w:eastAsia="zh-CN"/>
        </w:rPr>
        <w:t xml:space="preserve">修改了术语和定义，将三种否决项（A1、A2、A3）合并为一个否决项A，增加了“督促项  </w:t>
      </w:r>
      <w:r>
        <w:rPr>
          <w:sz w:val="24"/>
          <w:szCs w:val="24"/>
          <w:lang w:eastAsia="zh-CN"/>
        </w:rPr>
        <w:t>“</w:t>
      </w:r>
      <w:r>
        <w:rPr>
          <w:rFonts w:hint="eastAsia"/>
          <w:sz w:val="24"/>
          <w:szCs w:val="24"/>
          <w:lang w:eastAsia="zh-CN"/>
        </w:rPr>
        <w:t>C ；</w:t>
      </w:r>
    </w:p>
    <w:p w14:paraId="073C9C60">
      <w:pPr>
        <w:pStyle w:val="15"/>
        <w:numPr>
          <w:ilvl w:val="0"/>
          <w:numId w:val="2"/>
        </w:numPr>
        <w:spacing w:line="440" w:lineRule="exact"/>
        <w:ind w:left="220" w:leftChars="100" w:firstLine="360" w:firstLineChars="150"/>
        <w:rPr>
          <w:sz w:val="24"/>
          <w:szCs w:val="24"/>
          <w:lang w:eastAsia="zh-CN"/>
        </w:rPr>
      </w:pPr>
      <w:r>
        <w:rPr>
          <w:rFonts w:hint="eastAsia"/>
          <w:sz w:val="24"/>
          <w:szCs w:val="24"/>
          <w:lang w:eastAsia="zh-CN"/>
        </w:rPr>
        <w:t>简化了单元检查表检查统计方法和判定结果的评定方法，将原标准的统计计分方法，改为统计不合格数；</w:t>
      </w:r>
    </w:p>
    <w:p w14:paraId="3B47B6E3">
      <w:pPr>
        <w:pStyle w:val="15"/>
        <w:numPr>
          <w:ilvl w:val="0"/>
          <w:numId w:val="2"/>
        </w:numPr>
        <w:spacing w:line="440" w:lineRule="exact"/>
        <w:ind w:left="220" w:leftChars="100" w:firstLine="360" w:firstLineChars="150"/>
        <w:rPr>
          <w:sz w:val="24"/>
          <w:szCs w:val="24"/>
          <w:lang w:eastAsia="zh-CN"/>
        </w:rPr>
      </w:pPr>
      <w:r>
        <w:rPr>
          <w:rFonts w:hint="eastAsia"/>
          <w:sz w:val="24"/>
          <w:szCs w:val="24"/>
          <w:lang w:eastAsia="zh-CN"/>
        </w:rPr>
        <w:t>简化了企业检查判定结论评定方法，将原标准的计分统计方法，改为统计单元检查表不合格数；</w:t>
      </w:r>
    </w:p>
    <w:p w14:paraId="493FFC27">
      <w:pPr>
        <w:pStyle w:val="15"/>
        <w:numPr>
          <w:ilvl w:val="0"/>
          <w:numId w:val="2"/>
        </w:numPr>
        <w:spacing w:line="440" w:lineRule="exact"/>
        <w:ind w:left="220" w:leftChars="100" w:firstLine="360" w:firstLineChars="150"/>
        <w:rPr>
          <w:sz w:val="24"/>
          <w:szCs w:val="24"/>
          <w:lang w:eastAsia="zh-CN"/>
        </w:rPr>
      </w:pPr>
      <w:r>
        <w:rPr>
          <w:rFonts w:hint="eastAsia"/>
          <w:sz w:val="24"/>
          <w:szCs w:val="24"/>
          <w:lang w:eastAsia="zh-CN"/>
        </w:rPr>
        <w:t>相应的修改检查表的格式和内容，删除了计分的记录和统计；</w:t>
      </w:r>
    </w:p>
    <w:p w14:paraId="3BFFF555">
      <w:pPr>
        <w:pStyle w:val="15"/>
        <w:numPr>
          <w:ilvl w:val="0"/>
          <w:numId w:val="2"/>
        </w:numPr>
        <w:spacing w:line="440" w:lineRule="exact"/>
        <w:ind w:left="220" w:leftChars="100" w:firstLine="360" w:firstLineChars="150"/>
        <w:rPr>
          <w:sz w:val="24"/>
          <w:szCs w:val="24"/>
          <w:lang w:eastAsia="zh-CN"/>
        </w:rPr>
      </w:pPr>
      <w:r>
        <w:rPr>
          <w:rFonts w:hint="eastAsia"/>
          <w:sz w:val="24"/>
          <w:szCs w:val="24"/>
          <w:lang w:eastAsia="zh-CN"/>
        </w:rPr>
        <w:t>补充了暖通、电气的检查内容；</w:t>
      </w:r>
    </w:p>
    <w:p w14:paraId="6573818A">
      <w:pPr>
        <w:pStyle w:val="15"/>
        <w:numPr>
          <w:ilvl w:val="0"/>
          <w:numId w:val="2"/>
        </w:numPr>
        <w:spacing w:line="440" w:lineRule="exact"/>
        <w:ind w:left="220" w:leftChars="100" w:firstLine="360" w:firstLineChars="150"/>
        <w:rPr>
          <w:sz w:val="24"/>
          <w:szCs w:val="24"/>
          <w:lang w:eastAsia="zh-CN"/>
        </w:rPr>
      </w:pPr>
      <w:r>
        <w:rPr>
          <w:rFonts w:hint="eastAsia"/>
          <w:sz w:val="24"/>
          <w:szCs w:val="24"/>
          <w:lang w:eastAsia="zh-CN"/>
        </w:rPr>
        <w:t>根据最新的国家标准和行业管理要求，修改或补充了相关检查内容。</w:t>
      </w:r>
    </w:p>
    <w:p w14:paraId="581E7EFF">
      <w:pPr>
        <w:pStyle w:val="6"/>
        <w:ind w:firstLine="420"/>
        <w:rPr>
          <w:sz w:val="24"/>
          <w:szCs w:val="24"/>
          <w:lang w:eastAsia="zh-CN"/>
        </w:rPr>
      </w:pPr>
    </w:p>
    <w:p w14:paraId="693C4572">
      <w:pPr>
        <w:pStyle w:val="20"/>
        <w:rPr>
          <w:rFonts w:hAnsi="黑体" w:cs="宋体"/>
          <w:sz w:val="24"/>
          <w:szCs w:val="24"/>
        </w:rPr>
      </w:pPr>
      <w:r>
        <w:rPr>
          <w:rFonts w:hint="eastAsia" w:hAnsi="黑体" w:cs="宋体"/>
          <w:sz w:val="24"/>
          <w:szCs w:val="24"/>
        </w:rPr>
        <w:t>四、标准涉及专利知识产权问题</w:t>
      </w:r>
    </w:p>
    <w:p w14:paraId="484106EC">
      <w:pPr>
        <w:pStyle w:val="6"/>
        <w:ind w:firstLine="420"/>
        <w:rPr>
          <w:sz w:val="24"/>
          <w:szCs w:val="24"/>
          <w:lang w:eastAsia="zh-CN"/>
        </w:rPr>
      </w:pPr>
      <w:r>
        <w:rPr>
          <w:rFonts w:hint="eastAsia"/>
          <w:sz w:val="24"/>
          <w:szCs w:val="24"/>
          <w:lang w:eastAsia="zh-CN"/>
        </w:rPr>
        <w:t>请注意本文件的某些内容可能涉及专利。</w:t>
      </w:r>
    </w:p>
    <w:p w14:paraId="01B363C7">
      <w:pPr>
        <w:pStyle w:val="6"/>
        <w:ind w:firstLine="420"/>
        <w:rPr>
          <w:sz w:val="24"/>
          <w:szCs w:val="24"/>
          <w:lang w:eastAsia="zh-CN"/>
        </w:rPr>
      </w:pPr>
      <w:r>
        <w:rPr>
          <w:rFonts w:hint="eastAsia"/>
          <w:sz w:val="24"/>
          <w:szCs w:val="24"/>
          <w:lang w:eastAsia="zh-CN"/>
        </w:rPr>
        <w:t>本文件的发布机构不承担识别这些专利的责任。</w:t>
      </w:r>
    </w:p>
    <w:p w14:paraId="5A078D2D">
      <w:pPr>
        <w:pStyle w:val="20"/>
        <w:rPr>
          <w:rFonts w:hAnsi="黑体" w:cs="宋体"/>
          <w:sz w:val="24"/>
          <w:szCs w:val="24"/>
        </w:rPr>
      </w:pPr>
      <w:r>
        <w:rPr>
          <w:rFonts w:hint="eastAsia" w:hAnsi="黑体" w:cs="宋体"/>
          <w:sz w:val="24"/>
          <w:szCs w:val="24"/>
        </w:rPr>
        <w:t>五、预期社会和经济效果</w:t>
      </w:r>
    </w:p>
    <w:p w14:paraId="62496D76">
      <w:pPr>
        <w:pStyle w:val="6"/>
        <w:ind w:firstLine="420"/>
        <w:rPr>
          <w:sz w:val="24"/>
          <w:szCs w:val="24"/>
          <w:lang w:eastAsia="zh-CN"/>
        </w:rPr>
      </w:pPr>
      <w:r>
        <w:rPr>
          <w:rFonts w:hint="eastAsia"/>
          <w:sz w:val="24"/>
          <w:szCs w:val="24"/>
          <w:lang w:eastAsia="zh-CN"/>
        </w:rPr>
        <w:t>本标准的编制实施，能更好地指导民爆行业标准应涵盖《民用爆炸物品品名表》中的主要产品的安全检查内容，适用于对民爆行业生产企业和销售企业的安全检查。</w:t>
      </w:r>
    </w:p>
    <w:p w14:paraId="530AA19B">
      <w:pPr>
        <w:pStyle w:val="20"/>
        <w:rPr>
          <w:rFonts w:hAnsi="黑体" w:cs="宋体"/>
          <w:sz w:val="24"/>
          <w:szCs w:val="24"/>
        </w:rPr>
      </w:pPr>
      <w:r>
        <w:rPr>
          <w:rFonts w:hint="eastAsia" w:hAnsi="黑体" w:cs="宋体"/>
          <w:sz w:val="24"/>
          <w:szCs w:val="24"/>
        </w:rPr>
        <w:t>六、与同类标准水平的对比情况</w:t>
      </w:r>
    </w:p>
    <w:p w14:paraId="59E6A839">
      <w:pPr>
        <w:pStyle w:val="6"/>
        <w:ind w:firstLine="420"/>
        <w:rPr>
          <w:sz w:val="24"/>
          <w:szCs w:val="24"/>
          <w:lang w:eastAsia="zh-CN"/>
        </w:rPr>
      </w:pPr>
      <w:r>
        <w:rPr>
          <w:rFonts w:hint="eastAsia"/>
          <w:sz w:val="24"/>
          <w:szCs w:val="24"/>
          <w:lang w:eastAsia="zh-CN"/>
        </w:rPr>
        <w:t>本标准制修订参考了国内其他行业安全检查表，并结合了我国工业雷管生产的特点，具有简便性和全面性。</w:t>
      </w:r>
    </w:p>
    <w:p w14:paraId="00D088A6">
      <w:pPr>
        <w:pStyle w:val="20"/>
        <w:rPr>
          <w:rFonts w:hAnsi="黑体" w:cs="宋体"/>
          <w:sz w:val="24"/>
          <w:szCs w:val="24"/>
        </w:rPr>
      </w:pPr>
      <w:r>
        <w:rPr>
          <w:rFonts w:hint="eastAsia" w:hAnsi="黑体" w:cs="宋体"/>
          <w:sz w:val="24"/>
          <w:szCs w:val="24"/>
        </w:rPr>
        <w:t>七、与现行法律、法规及标准的关系</w:t>
      </w:r>
    </w:p>
    <w:p w14:paraId="69402B19">
      <w:pPr>
        <w:pStyle w:val="6"/>
        <w:ind w:firstLine="420"/>
        <w:rPr>
          <w:sz w:val="24"/>
          <w:szCs w:val="24"/>
          <w:lang w:eastAsia="zh-CN"/>
        </w:rPr>
      </w:pPr>
      <w:r>
        <w:rPr>
          <w:rFonts w:hint="eastAsia"/>
          <w:sz w:val="24"/>
          <w:szCs w:val="24"/>
          <w:lang w:eastAsia="zh-CN"/>
        </w:rPr>
        <w:t>本标准制修订参考了国内相关标准内容，符合行业实际情况。</w:t>
      </w:r>
    </w:p>
    <w:p w14:paraId="1B363FCC">
      <w:pPr>
        <w:pStyle w:val="20"/>
        <w:rPr>
          <w:rFonts w:hAnsi="黑体" w:cs="宋体"/>
          <w:sz w:val="24"/>
          <w:szCs w:val="24"/>
        </w:rPr>
      </w:pPr>
      <w:r>
        <w:rPr>
          <w:rFonts w:hint="eastAsia" w:hAnsi="黑体" w:cs="宋体"/>
          <w:sz w:val="24"/>
          <w:szCs w:val="24"/>
        </w:rPr>
        <w:t>八、重大分歧意见的处理</w:t>
      </w:r>
    </w:p>
    <w:p w14:paraId="0B3A41D7">
      <w:pPr>
        <w:pStyle w:val="6"/>
        <w:ind w:firstLine="420"/>
        <w:rPr>
          <w:sz w:val="24"/>
          <w:szCs w:val="24"/>
          <w:lang w:eastAsia="zh-CN"/>
        </w:rPr>
      </w:pPr>
      <w:r>
        <w:rPr>
          <w:rFonts w:hint="eastAsia"/>
          <w:sz w:val="24"/>
          <w:szCs w:val="24"/>
          <w:lang w:eastAsia="zh-CN"/>
        </w:rPr>
        <w:t>本标准制修订过程中无重大意见分歧。</w:t>
      </w:r>
    </w:p>
    <w:p w14:paraId="54FC8895">
      <w:pPr>
        <w:pStyle w:val="20"/>
        <w:rPr>
          <w:rFonts w:hAnsi="黑体" w:cs="宋体"/>
          <w:sz w:val="24"/>
          <w:szCs w:val="24"/>
        </w:rPr>
      </w:pPr>
      <w:r>
        <w:rPr>
          <w:rFonts w:hint="eastAsia" w:hAnsi="黑体" w:cs="宋体"/>
          <w:sz w:val="24"/>
          <w:szCs w:val="24"/>
        </w:rPr>
        <w:t>九、废止现行有关标准的建议</w:t>
      </w:r>
    </w:p>
    <w:p w14:paraId="77108DCC">
      <w:pPr>
        <w:pStyle w:val="6"/>
        <w:ind w:firstLine="420"/>
        <w:rPr>
          <w:sz w:val="24"/>
          <w:szCs w:val="24"/>
          <w:lang w:eastAsia="zh-CN"/>
        </w:rPr>
      </w:pPr>
      <w:r>
        <w:rPr>
          <w:rFonts w:hint="eastAsia"/>
          <w:sz w:val="24"/>
          <w:szCs w:val="24"/>
          <w:lang w:eastAsia="zh-CN"/>
        </w:rPr>
        <w:t>本标准发布后，《民用爆破器材企业安全检查方法</w:t>
      </w:r>
      <w:r>
        <w:rPr>
          <w:sz w:val="24"/>
          <w:szCs w:val="24"/>
          <w:lang w:eastAsia="zh-CN"/>
        </w:rPr>
        <w:t xml:space="preserve">  检查表法</w:t>
      </w:r>
      <w:r>
        <w:rPr>
          <w:rFonts w:hint="eastAsia"/>
          <w:sz w:val="24"/>
          <w:szCs w:val="24"/>
          <w:lang w:eastAsia="zh-CN"/>
        </w:rPr>
        <w:t xml:space="preserve"> 第</w:t>
      </w:r>
      <w:r>
        <w:rPr>
          <w:sz w:val="24"/>
          <w:szCs w:val="24"/>
          <w:lang w:eastAsia="zh-CN"/>
        </w:rPr>
        <w:t xml:space="preserve">4部分：工业雷管生产线 </w:t>
      </w:r>
      <w:r>
        <w:rPr>
          <w:rFonts w:hint="eastAsia"/>
          <w:sz w:val="24"/>
          <w:szCs w:val="24"/>
          <w:lang w:eastAsia="zh-CN"/>
        </w:rPr>
        <w:t>》（</w:t>
      </w:r>
      <w:r>
        <w:rPr>
          <w:sz w:val="24"/>
          <w:szCs w:val="24"/>
          <w:lang w:eastAsia="zh-CN"/>
        </w:rPr>
        <w:t>WJ 9075.4—2012</w:t>
      </w:r>
      <w:r>
        <w:rPr>
          <w:rFonts w:hint="eastAsia"/>
          <w:sz w:val="24"/>
          <w:szCs w:val="24"/>
          <w:lang w:eastAsia="zh-CN"/>
        </w:rPr>
        <w:t>）行业标准废止。</w:t>
      </w:r>
    </w:p>
    <w:p w14:paraId="511CCADD">
      <w:pPr>
        <w:pStyle w:val="20"/>
        <w:rPr>
          <w:rFonts w:hAnsi="黑体" w:cs="宋体"/>
          <w:sz w:val="24"/>
          <w:szCs w:val="24"/>
        </w:rPr>
      </w:pPr>
      <w:r>
        <w:rPr>
          <w:rFonts w:hint="eastAsia" w:hAnsi="黑体" w:cs="宋体"/>
          <w:sz w:val="24"/>
          <w:szCs w:val="24"/>
        </w:rPr>
        <w:t>十、标准性质及贯彻标准的建议</w:t>
      </w:r>
    </w:p>
    <w:p w14:paraId="050F2DF2">
      <w:pPr>
        <w:pStyle w:val="6"/>
        <w:ind w:firstLine="420"/>
        <w:rPr>
          <w:sz w:val="24"/>
          <w:szCs w:val="24"/>
          <w:lang w:eastAsia="zh-CN"/>
        </w:rPr>
      </w:pPr>
      <w:r>
        <w:rPr>
          <w:rFonts w:hint="eastAsia"/>
          <w:sz w:val="24"/>
          <w:szCs w:val="24"/>
          <w:lang w:eastAsia="zh-CN"/>
        </w:rPr>
        <w:t>建议该标准作为推荐性标准，发布后进行宣贯。</w:t>
      </w:r>
    </w:p>
    <w:p w14:paraId="7296A336">
      <w:pPr>
        <w:pStyle w:val="20"/>
        <w:rPr>
          <w:rFonts w:hAnsi="黑体" w:cs="宋体"/>
          <w:sz w:val="24"/>
          <w:szCs w:val="24"/>
        </w:rPr>
      </w:pPr>
      <w:r>
        <w:rPr>
          <w:rFonts w:hint="eastAsia" w:hAnsi="黑体" w:cs="宋体"/>
          <w:sz w:val="24"/>
          <w:szCs w:val="24"/>
        </w:rPr>
        <w:t>十一、其他应当予以说明的事项</w:t>
      </w:r>
    </w:p>
    <w:p w14:paraId="18003CD7">
      <w:pPr>
        <w:pStyle w:val="6"/>
        <w:ind w:firstLine="420"/>
        <w:rPr>
          <w:sz w:val="24"/>
          <w:szCs w:val="24"/>
          <w:lang w:eastAsia="zh-CN"/>
        </w:rPr>
      </w:pPr>
      <w:r>
        <w:rPr>
          <w:rFonts w:hint="eastAsia"/>
          <w:sz w:val="24"/>
          <w:szCs w:val="24"/>
          <w:lang w:eastAsia="zh-CN"/>
        </w:rPr>
        <w:t>无。</w:t>
      </w:r>
    </w:p>
    <w:sectPr>
      <w:footerReference r:id="rId12" w:type="default"/>
      <w:pgSz w:w="11910" w:h="16840"/>
      <w:pgMar w:top="1418" w:right="1418" w:bottom="1418" w:left="1418" w:header="0" w:footer="851"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40"/>
      </w:pPr>
      <w:r>
        <w:separator/>
      </w:r>
    </w:p>
  </w:endnote>
  <w:endnote w:type="continuationSeparator" w:id="1">
    <w:p>
      <w:pPr>
        <w:spacing w:line="240" w:lineRule="auto"/>
        <w:ind w:firstLine="4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D6EF3ED-D579-4D7E-B432-E07FAE0CBAE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公文小标宋">
    <w:panose1 w:val="02000500000000000000"/>
    <w:charset w:val="86"/>
    <w:family w:val="auto"/>
    <w:pitch w:val="default"/>
    <w:sig w:usb0="A00002BF" w:usb1="38CF7CFA" w:usb2="00000016" w:usb3="00000000" w:csb0="00040001" w:csb1="00000000"/>
    <w:embedRegular r:id="rId2" w:fontKey="{25032CCB-A19A-4CA8-A88F-06AC186ADE1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1ECCD0">
    <w:pPr>
      <w:pStyle w:val="7"/>
      <w:ind w:left="0" w:leftChars="0" w:firstLine="0" w:firstLineChars="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miter lim="800000"/>
                      </a:ln>
                    </wps:spPr>
                    <wps:txbx>
                      <w:txbxContent>
                        <w:p w14:paraId="23B22CC3">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OqXm5zwAAAAUBAAAPAAAAAAAAAAEAIAAAACIAAABkcnMvZG93bnJldi54&#10;bWxQSwECFAAUAAAACACHTuJA5tszCzwCAAB4BAAADgAAAAAAAAABACAAAAAeAQAAZHJzL2Uyb0Rv&#10;Yy54bWxQSwUGAAAAAAYABgBZAQAAzAUAAAAA&#10;">
              <v:fill on="f" focussize="0,0"/>
              <v:stroke on="f" miterlimit="8" joinstyle="miter"/>
              <v:imagedata o:title=""/>
              <o:lock v:ext="edit" aspectratio="f"/>
              <v:textbox inset="0mm,0mm,0mm,0mm" style="mso-fit-shape-to-text:t;">
                <w:txbxContent>
                  <w:p w14:paraId="23B22CC3">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8CD5B">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3D48E1">
    <w:pPr>
      <w:pStyle w:val="7"/>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181AA5">
    <w:pPr>
      <w:pStyle w:val="6"/>
      <w:ind w:left="0" w:leftChars="0" w:firstLine="0" w:firstLineChars="0"/>
      <w:rPr>
        <w:sz w:val="20"/>
      </w:rPr>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miter lim="800000"/>
                      </a:ln>
                    </wps:spPr>
                    <wps:txbx>
                      <w:txbxContent>
                        <w:p w14:paraId="07BE816D">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OqXm5zwAAAAUBAAAPAAAAAAAAAAEAIAAAACIAAABkcnMvZG93bnJldi54&#10;bWxQSwECFAAUAAAACACHTuJACyFJ6TwCAAB4BAAADgAAAAAAAAABACAAAAAeAQAAZHJzL2Uyb0Rv&#10;Yy54bWxQSwUGAAAAAAYABgBZAQAAzAUAAAAA&#10;">
              <v:fill on="f" focussize="0,0"/>
              <v:stroke on="f" miterlimit="8" joinstyle="miter"/>
              <v:imagedata o:title=""/>
              <o:lock v:ext="edit" aspectratio="f"/>
              <v:textbox inset="0mm,0mm,0mm,0mm" style="mso-fit-shape-to-text:t;">
                <w:txbxContent>
                  <w:p w14:paraId="07BE816D">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D05DE5">
    <w:pPr>
      <w:pStyle w:val="6"/>
      <w:ind w:left="0" w:leftChars="0" w:firstLine="0" w:firstLineChars="0"/>
      <w:rPr>
        <w:sz w:val="20"/>
      </w:rPr>
    </w:pPr>
    <w:r>
      <w:rPr>
        <w:sz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miter lim="800000"/>
                      </a:ln>
                    </wps:spPr>
                    <wps:txbx>
                      <w:txbxContent>
                        <w:p w14:paraId="071E948B">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DOqXm5zwAAAAUBAAAPAAAAAAAAAAEAIAAAACIAAABkcnMvZG93bnJldi54&#10;bWxQSwECFAAUAAAACACHTuJAfSi3FDwCAAB4BAAADgAAAAAAAAABACAAAAAeAQAAZHJzL2Uyb0Rv&#10;Yy54bWxQSwUGAAAAAAYABgBZAQAAzAUAAAAA&#10;">
              <v:fill on="f" focussize="0,0"/>
              <v:stroke on="f" miterlimit="8" joinstyle="miter"/>
              <v:imagedata o:title=""/>
              <o:lock v:ext="edit" aspectratio="f"/>
              <v:textbox inset="0mm,0mm,0mm,0mm" style="mso-fit-shape-to-text:t;">
                <w:txbxContent>
                  <w:p w14:paraId="071E948B">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76" w:lineRule="auto"/>
        <w:ind w:firstLine="440"/>
      </w:pPr>
      <w:r>
        <w:separator/>
      </w:r>
    </w:p>
  </w:footnote>
  <w:footnote w:type="continuationSeparator" w:id="1">
    <w:p>
      <w:pPr>
        <w:spacing w:line="276" w:lineRule="auto"/>
        <w:ind w:firstLine="4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7FB246">
    <w:pPr>
      <w:ind w:left="440"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AF7D3">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6B7509">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A3C4553"/>
    <w:multiLevelType w:val="multilevel"/>
    <w:tmpl w:val="3A3C4553"/>
    <w:lvl w:ilvl="0" w:tentative="0">
      <w:start w:val="1"/>
      <w:numFmt w:val="decimal"/>
      <w:lvlText w:val="（%1）"/>
      <w:lvlJc w:val="left"/>
      <w:pPr>
        <w:ind w:left="988" w:hanging="420"/>
      </w:pPr>
      <w:rPr>
        <w:rFonts w:hint="default"/>
        <w:lang w:val="en-US"/>
      </w:rPr>
    </w:lvl>
    <w:lvl w:ilvl="1" w:tentative="0">
      <w:start w:val="1"/>
      <w:numFmt w:val="lowerLetter"/>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6938440F"/>
    <w:multiLevelType w:val="multilevel"/>
    <w:tmpl w:val="6938440F"/>
    <w:lvl w:ilvl="0" w:tentative="0">
      <w:start w:val="1"/>
      <w:numFmt w:val="decimal"/>
      <w:lvlText w:val="（%1）"/>
      <w:lvlJc w:val="left"/>
      <w:pPr>
        <w:ind w:left="846" w:hanging="420"/>
      </w:pPr>
      <w:rPr>
        <w:rFonts w:hint="default"/>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0"/>
  <w:drawingGridHorizontalSpacing w:val="110"/>
  <w:noPunctuationKerning w:val="1"/>
  <w:characterSpacingControl w:val="doNotCompress"/>
  <w:footnotePr>
    <w:footnote w:id="0"/>
    <w:footnote w:id="1"/>
  </w:footnotePr>
  <w:endnotePr>
    <w:endnote w:id="0"/>
    <w:endnote w:id="1"/>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ZmOTY3ZjRiODg4NjE2NWQzNWMyYjRkYWEyMTk3ZjcifQ=="/>
  </w:docVars>
  <w:rsids>
    <w:rsidRoot w:val="00715327"/>
    <w:rsid w:val="000036C4"/>
    <w:rsid w:val="00005778"/>
    <w:rsid w:val="00032E95"/>
    <w:rsid w:val="00040031"/>
    <w:rsid w:val="00061C9C"/>
    <w:rsid w:val="00086972"/>
    <w:rsid w:val="000B440F"/>
    <w:rsid w:val="000C0D56"/>
    <w:rsid w:val="00106A6F"/>
    <w:rsid w:val="00123B19"/>
    <w:rsid w:val="00140FC1"/>
    <w:rsid w:val="001427B8"/>
    <w:rsid w:val="001A37AC"/>
    <w:rsid w:val="001A5C04"/>
    <w:rsid w:val="001F55D1"/>
    <w:rsid w:val="00241C42"/>
    <w:rsid w:val="002834EF"/>
    <w:rsid w:val="002C21BF"/>
    <w:rsid w:val="002C7B0B"/>
    <w:rsid w:val="002D6F1D"/>
    <w:rsid w:val="002E008E"/>
    <w:rsid w:val="00373430"/>
    <w:rsid w:val="00391D03"/>
    <w:rsid w:val="00402048"/>
    <w:rsid w:val="004243F0"/>
    <w:rsid w:val="00434997"/>
    <w:rsid w:val="004358E7"/>
    <w:rsid w:val="00456A9C"/>
    <w:rsid w:val="00472635"/>
    <w:rsid w:val="004901CB"/>
    <w:rsid w:val="004D3CEA"/>
    <w:rsid w:val="004D4FE0"/>
    <w:rsid w:val="0056579A"/>
    <w:rsid w:val="00567205"/>
    <w:rsid w:val="00592D61"/>
    <w:rsid w:val="005B547B"/>
    <w:rsid w:val="005C4DE6"/>
    <w:rsid w:val="005E32CE"/>
    <w:rsid w:val="005F0DE8"/>
    <w:rsid w:val="006429C9"/>
    <w:rsid w:val="006430FD"/>
    <w:rsid w:val="00656DEC"/>
    <w:rsid w:val="00662DCD"/>
    <w:rsid w:val="00677DC4"/>
    <w:rsid w:val="00685492"/>
    <w:rsid w:val="00715327"/>
    <w:rsid w:val="00767231"/>
    <w:rsid w:val="007801AA"/>
    <w:rsid w:val="00782B92"/>
    <w:rsid w:val="007837BD"/>
    <w:rsid w:val="00797AC7"/>
    <w:rsid w:val="007B5A56"/>
    <w:rsid w:val="007D354E"/>
    <w:rsid w:val="007D7BBD"/>
    <w:rsid w:val="007F1BB5"/>
    <w:rsid w:val="008256FE"/>
    <w:rsid w:val="0088308B"/>
    <w:rsid w:val="008916F2"/>
    <w:rsid w:val="008D3B86"/>
    <w:rsid w:val="008E29B4"/>
    <w:rsid w:val="00904AE6"/>
    <w:rsid w:val="00937370"/>
    <w:rsid w:val="00943EAD"/>
    <w:rsid w:val="009772DB"/>
    <w:rsid w:val="009A34CE"/>
    <w:rsid w:val="00A350B9"/>
    <w:rsid w:val="00A95D31"/>
    <w:rsid w:val="00AA3C6C"/>
    <w:rsid w:val="00AB770E"/>
    <w:rsid w:val="00AE1882"/>
    <w:rsid w:val="00AE5264"/>
    <w:rsid w:val="00B024F5"/>
    <w:rsid w:val="00B05BD7"/>
    <w:rsid w:val="00B11A0F"/>
    <w:rsid w:val="00B51F19"/>
    <w:rsid w:val="00B56AB4"/>
    <w:rsid w:val="00B87455"/>
    <w:rsid w:val="00B92F43"/>
    <w:rsid w:val="00B95A76"/>
    <w:rsid w:val="00B966FC"/>
    <w:rsid w:val="00B97D8E"/>
    <w:rsid w:val="00BB0CDA"/>
    <w:rsid w:val="00BC5340"/>
    <w:rsid w:val="00C01EBA"/>
    <w:rsid w:val="00C109E5"/>
    <w:rsid w:val="00C66047"/>
    <w:rsid w:val="00CA675D"/>
    <w:rsid w:val="00CB1265"/>
    <w:rsid w:val="00CF0159"/>
    <w:rsid w:val="00D969EF"/>
    <w:rsid w:val="00DB03F3"/>
    <w:rsid w:val="00DB197A"/>
    <w:rsid w:val="00DC5AA7"/>
    <w:rsid w:val="00E573D2"/>
    <w:rsid w:val="00ED54CA"/>
    <w:rsid w:val="00F67B0B"/>
    <w:rsid w:val="00FA4D54"/>
    <w:rsid w:val="00FD6792"/>
    <w:rsid w:val="033C3422"/>
    <w:rsid w:val="053C0C8A"/>
    <w:rsid w:val="0C3D6DF9"/>
    <w:rsid w:val="0DBC6F43"/>
    <w:rsid w:val="0E557083"/>
    <w:rsid w:val="16CA45DE"/>
    <w:rsid w:val="18BC5F12"/>
    <w:rsid w:val="1E69661E"/>
    <w:rsid w:val="203266EE"/>
    <w:rsid w:val="22414AFB"/>
    <w:rsid w:val="24E81330"/>
    <w:rsid w:val="2D1E66D0"/>
    <w:rsid w:val="2EE52969"/>
    <w:rsid w:val="375C12F1"/>
    <w:rsid w:val="39BA43B7"/>
    <w:rsid w:val="3A4A561C"/>
    <w:rsid w:val="3A4F7D89"/>
    <w:rsid w:val="3DAC5CA6"/>
    <w:rsid w:val="42A94006"/>
    <w:rsid w:val="437B732E"/>
    <w:rsid w:val="44336BF9"/>
    <w:rsid w:val="45B93BFA"/>
    <w:rsid w:val="47A04D78"/>
    <w:rsid w:val="4BC114B6"/>
    <w:rsid w:val="4F7C6D36"/>
    <w:rsid w:val="50C12A2D"/>
    <w:rsid w:val="51D13AD5"/>
    <w:rsid w:val="5411465D"/>
    <w:rsid w:val="546C4071"/>
    <w:rsid w:val="58B4208E"/>
    <w:rsid w:val="61D54F1C"/>
    <w:rsid w:val="62EC224B"/>
    <w:rsid w:val="6A7774B8"/>
    <w:rsid w:val="6CE108DF"/>
    <w:rsid w:val="6D9D0818"/>
    <w:rsid w:val="6E6733A0"/>
    <w:rsid w:val="70C943AC"/>
    <w:rsid w:val="71284FD1"/>
    <w:rsid w:val="72AE13B5"/>
    <w:rsid w:val="7345315E"/>
    <w:rsid w:val="76F30DFB"/>
    <w:rsid w:val="79E62BDA"/>
    <w:rsid w:val="7A565F9A"/>
    <w:rsid w:val="7BA312FA"/>
    <w:rsid w:val="7FFA40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autoSpaceDE w:val="0"/>
      <w:autoSpaceDN w:val="0"/>
      <w:spacing w:line="276" w:lineRule="auto"/>
      <w:ind w:firstLine="440" w:firstLineChars="200"/>
    </w:pPr>
    <w:rPr>
      <w:rFonts w:ascii="宋体" w:hAnsi="宋体" w:eastAsia="宋体" w:cs="宋体"/>
      <w:sz w:val="22"/>
      <w:szCs w:val="22"/>
      <w:lang w:val="en-US" w:eastAsia="en-US" w:bidi="ar-SA"/>
    </w:rPr>
  </w:style>
  <w:style w:type="paragraph" w:styleId="2">
    <w:name w:val="heading 1"/>
    <w:basedOn w:val="1"/>
    <w:next w:val="1"/>
    <w:qFormat/>
    <w:uiPriority w:val="1"/>
    <w:pPr>
      <w:spacing w:before="239"/>
      <w:ind w:left="718"/>
      <w:outlineLvl w:val="0"/>
    </w:pPr>
    <w:rPr>
      <w:b/>
      <w:bCs/>
      <w:sz w:val="30"/>
      <w:szCs w:val="30"/>
    </w:rPr>
  </w:style>
  <w:style w:type="paragraph" w:styleId="3">
    <w:name w:val="heading 2"/>
    <w:basedOn w:val="1"/>
    <w:next w:val="1"/>
    <w:qFormat/>
    <w:uiPriority w:val="1"/>
    <w:pPr>
      <w:ind w:left="855" w:hanging="317"/>
      <w:outlineLvl w:val="1"/>
    </w:pPr>
    <w:rPr>
      <w:b/>
      <w:bCs/>
      <w:sz w:val="21"/>
      <w:szCs w:val="21"/>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21"/>
    <w:qFormat/>
    <w:uiPriority w:val="0"/>
    <w:pPr>
      <w:autoSpaceDE/>
      <w:autoSpaceDN/>
      <w:jc w:val="both"/>
    </w:pPr>
    <w:rPr>
      <w:rFonts w:hAnsi="Times New Roman" w:cs="Times New Roman"/>
      <w:kern w:val="2"/>
      <w:sz w:val="18"/>
      <w:szCs w:val="18"/>
      <w:lang w:eastAsia="zh-CN"/>
    </w:rPr>
  </w:style>
  <w:style w:type="paragraph" w:styleId="5">
    <w:name w:val="annotation text"/>
    <w:basedOn w:val="1"/>
    <w:link w:val="23"/>
    <w:qFormat/>
    <w:uiPriority w:val="0"/>
  </w:style>
  <w:style w:type="paragraph" w:styleId="6">
    <w:name w:val="Body Text"/>
    <w:basedOn w:val="1"/>
    <w:link w:val="22"/>
    <w:qFormat/>
    <w:uiPriority w:val="1"/>
    <w:rPr>
      <w:sz w:val="21"/>
      <w:szCs w:val="21"/>
    </w:rPr>
  </w:style>
  <w:style w:type="paragraph" w:styleId="7">
    <w:name w:val="footer"/>
    <w:basedOn w:val="1"/>
    <w:link w:val="18"/>
    <w:qFormat/>
    <w:uiPriority w:val="99"/>
    <w:pPr>
      <w:tabs>
        <w:tab w:val="center" w:pos="4153"/>
        <w:tab w:val="right" w:pos="8306"/>
      </w:tabs>
      <w:snapToGrid w:val="0"/>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0"/>
    <w:pPr>
      <w:widowControl/>
      <w:autoSpaceDE/>
      <w:autoSpaceDN/>
      <w:spacing w:before="100" w:beforeAutospacing="1" w:after="100" w:afterAutospacing="1"/>
    </w:pPr>
    <w:rPr>
      <w:sz w:val="24"/>
      <w:szCs w:val="24"/>
      <w:lang w:eastAsia="zh-CN"/>
    </w:rPr>
  </w:style>
  <w:style w:type="paragraph" w:styleId="10">
    <w:name w:val="annotation subject"/>
    <w:basedOn w:val="5"/>
    <w:next w:val="5"/>
    <w:link w:val="24"/>
    <w:qFormat/>
    <w:uiPriority w:val="0"/>
    <w:rPr>
      <w:b/>
      <w:bCs/>
    </w:rPr>
  </w:style>
  <w:style w:type="character" w:styleId="13">
    <w:name w:val="annotation reference"/>
    <w:basedOn w:val="12"/>
    <w:qFormat/>
    <w:uiPriority w:val="0"/>
    <w:rPr>
      <w:sz w:val="21"/>
      <w:szCs w:val="21"/>
    </w:rPr>
  </w:style>
  <w:style w:type="table" w:customStyle="1" w:styleId="14">
    <w:name w:val="Table Normal"/>
    <w:semiHidden/>
    <w:unhideWhenUsed/>
    <w:qFormat/>
    <w:uiPriority w:val="2"/>
    <w:tblPr>
      <w:tblCellMar>
        <w:top w:w="0" w:type="dxa"/>
        <w:left w:w="0" w:type="dxa"/>
        <w:bottom w:w="0" w:type="dxa"/>
        <w:right w:w="0" w:type="dxa"/>
      </w:tblCellMar>
    </w:tblPr>
  </w:style>
  <w:style w:type="paragraph" w:styleId="15">
    <w:name w:val="List Paragraph"/>
    <w:basedOn w:val="1"/>
    <w:qFormat/>
    <w:uiPriority w:val="1"/>
    <w:pPr>
      <w:ind w:left="118" w:firstLine="420"/>
    </w:pPr>
  </w:style>
  <w:style w:type="paragraph" w:customStyle="1" w:styleId="16">
    <w:name w:val="Table Paragraph"/>
    <w:basedOn w:val="1"/>
    <w:qFormat/>
    <w:uiPriority w:val="1"/>
  </w:style>
  <w:style w:type="character" w:customStyle="1" w:styleId="17">
    <w:name w:val="页眉 字符"/>
    <w:basedOn w:val="12"/>
    <w:link w:val="8"/>
    <w:qFormat/>
    <w:uiPriority w:val="0"/>
    <w:rPr>
      <w:rFonts w:ascii="宋体" w:hAnsi="宋体" w:eastAsia="宋体" w:cs="宋体"/>
      <w:sz w:val="18"/>
      <w:szCs w:val="18"/>
      <w:lang w:eastAsia="en-US"/>
    </w:rPr>
  </w:style>
  <w:style w:type="character" w:customStyle="1" w:styleId="18">
    <w:name w:val="页脚 字符"/>
    <w:basedOn w:val="12"/>
    <w:link w:val="7"/>
    <w:qFormat/>
    <w:uiPriority w:val="99"/>
    <w:rPr>
      <w:rFonts w:ascii="宋体" w:hAnsi="宋体" w:eastAsia="宋体" w:cs="宋体"/>
      <w:sz w:val="18"/>
      <w:szCs w:val="18"/>
      <w:lang w:eastAsia="en-US"/>
    </w:rPr>
  </w:style>
  <w:style w:type="paragraph" w:customStyle="1" w:styleId="19">
    <w:name w:val="Char Char Char Char Char Char Char"/>
    <w:basedOn w:val="1"/>
    <w:qFormat/>
    <w:uiPriority w:val="0"/>
    <w:pPr>
      <w:widowControl/>
      <w:autoSpaceDE/>
      <w:autoSpaceDN/>
      <w:spacing w:after="160" w:line="240" w:lineRule="exact"/>
    </w:pPr>
    <w:rPr>
      <w:rFonts w:ascii="Arial" w:hAnsi="Arial" w:eastAsia="Times New Roman" w:cs="Verdana"/>
      <w:b/>
      <w:sz w:val="24"/>
      <w:szCs w:val="24"/>
    </w:rPr>
  </w:style>
  <w:style w:type="paragraph" w:customStyle="1" w:styleId="20">
    <w:name w:val="章标题"/>
    <w:next w:val="1"/>
    <w:qFormat/>
    <w:uiPriority w:val="99"/>
    <w:pPr>
      <w:spacing w:before="50" w:after="50" w:line="360" w:lineRule="auto"/>
      <w:jc w:val="both"/>
      <w:outlineLvl w:val="1"/>
    </w:pPr>
    <w:rPr>
      <w:rFonts w:ascii="黑体" w:hAnsi="Times New Roman" w:eastAsia="黑体" w:cs="Times New Roman"/>
      <w:sz w:val="21"/>
      <w:lang w:val="en-US" w:eastAsia="zh-CN" w:bidi="ar-SA"/>
    </w:rPr>
  </w:style>
  <w:style w:type="character" w:customStyle="1" w:styleId="21">
    <w:name w:val="文档结构图 字符"/>
    <w:basedOn w:val="12"/>
    <w:link w:val="4"/>
    <w:qFormat/>
    <w:uiPriority w:val="0"/>
    <w:rPr>
      <w:rFonts w:ascii="宋体"/>
      <w:kern w:val="2"/>
      <w:sz w:val="18"/>
      <w:szCs w:val="18"/>
    </w:rPr>
  </w:style>
  <w:style w:type="character" w:customStyle="1" w:styleId="22">
    <w:name w:val="正文文本 字符"/>
    <w:basedOn w:val="12"/>
    <w:link w:val="6"/>
    <w:qFormat/>
    <w:uiPriority w:val="1"/>
    <w:rPr>
      <w:rFonts w:ascii="宋体" w:hAnsi="宋体" w:cs="宋体"/>
      <w:sz w:val="21"/>
      <w:szCs w:val="21"/>
      <w:lang w:eastAsia="en-US"/>
    </w:rPr>
  </w:style>
  <w:style w:type="character" w:customStyle="1" w:styleId="23">
    <w:name w:val="批注文字 字符"/>
    <w:basedOn w:val="12"/>
    <w:link w:val="5"/>
    <w:qFormat/>
    <w:uiPriority w:val="0"/>
    <w:rPr>
      <w:rFonts w:ascii="宋体" w:hAnsi="宋体" w:cs="宋体"/>
      <w:sz w:val="22"/>
      <w:szCs w:val="22"/>
      <w:lang w:eastAsia="en-US"/>
    </w:rPr>
  </w:style>
  <w:style w:type="character" w:customStyle="1" w:styleId="24">
    <w:name w:val="批注主题 字符"/>
    <w:basedOn w:val="23"/>
    <w:link w:val="10"/>
    <w:qFormat/>
    <w:uiPriority w:val="0"/>
    <w:rPr>
      <w:rFonts w:ascii="宋体" w:hAnsi="宋体" w:cs="宋体"/>
      <w:b/>
      <w:bCs/>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ln>
      </a:spPr>
      <a:bodyPr rot="0" vert="horz" wrap="square" lIns="91440" tIns="45720" rIns="91440" bIns="45720" anchor="t" anchorCtr="0">
        <a:noAutofit/>
      </a:bodyPr>
      <a:lst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5418A8C-C673-4407-967D-9F5693F32949}">
  <ds:schemaRefs/>
</ds:datastoreItem>
</file>

<file path=docProps/app.xml><?xml version="1.0" encoding="utf-8"?>
<Properties xmlns="http://schemas.openxmlformats.org/officeDocument/2006/extended-properties" xmlns:vt="http://schemas.openxmlformats.org/officeDocument/2006/docPropsVTypes">
  <Template>Normal</Template>
  <Pages>6</Pages>
  <Words>3512</Words>
  <Characters>3966</Characters>
  <Lines>29</Lines>
  <Paragraphs>8</Paragraphs>
  <TotalTime>0</TotalTime>
  <ScaleCrop>false</ScaleCrop>
  <LinksUpToDate>false</LinksUpToDate>
  <CharactersWithSpaces>4022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2025-11-01T02:34:00Z</dcterms:created>
  <dc:creator>番茄花园</dc:creator>
  <cp:lastModifiedBy>大衣服</cp:lastModifiedBy>
  <cp:lastPrinted>2024-04-15T01:10:00Z</cp:lastPrinted>
  <dcterms:modified xsi:type="dcterms:W3CDTF">2025-11-18T10:58:51Z</dcterms:modified>
  <dc:title>中华人民共和国国家标准</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2022-12-17T00:00:00Z</vt:filetime>
  </property>
  <property fmtid="{D5CDD505-2E9C-101B-9397-08002B2CF9AE}" pid="3" name="Creator">
    <vt:lpwstr>WPS 文字</vt:lpwstr>
  </property>
  <property fmtid="{D5CDD505-2E9C-101B-9397-08002B2CF9AE}" pid="4" name="LastSaved">
    <vt:filetime>2023-02-17T00:00:00Z</vt:filetime>
  </property>
  <property fmtid="{D5CDD505-2E9C-101B-9397-08002B2CF9AE}" pid="5" name="KSOProductBuildVer">
    <vt:lpwstr>2052-12.1.0.23542</vt:lpwstr>
  </property>
  <property fmtid="{D5CDD505-2E9C-101B-9397-08002B2CF9AE}" pid="6" name="ICV">
    <vt:lpwstr>A93BF510DE804454B876971FBD77FE69_13</vt:lpwstr>
  </property>
  <property fmtid="{D5CDD505-2E9C-101B-9397-08002B2CF9AE}" pid="7" name="KSOTemplateDocerSaveRecord">
    <vt:lpwstr>eyJoZGlkIjoiNjdiZjk5YjQyODY0OWVkNzBlYWUxZmFiMTU0ZTFmYTAiLCJ1c2VySWQiOiI0NDQ3MjI3MjUifQ==</vt:lpwstr>
  </property>
</Properties>
</file>